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AC3D0" w14:textId="1DE242AB" w:rsidR="00D3434C" w:rsidRPr="004A3FEA" w:rsidRDefault="00D3434C" w:rsidP="00EB7F9D">
      <w:pPr>
        <w:rPr>
          <w:rFonts w:ascii="Lato" w:hAnsi="Lato"/>
          <w:sz w:val="22"/>
          <w:szCs w:val="22"/>
        </w:rPr>
      </w:pPr>
    </w:p>
    <w:p w14:paraId="1734DB9A" w14:textId="0108551C" w:rsidR="00EC349C" w:rsidRDefault="00EC349C" w:rsidP="00EC349C">
      <w:pPr>
        <w:tabs>
          <w:tab w:val="left" w:pos="2797"/>
          <w:tab w:val="right" w:pos="9752"/>
        </w:tabs>
        <w:rPr>
          <w:rFonts w:cs="Calibri"/>
          <w:b/>
          <w:bCs/>
        </w:rPr>
      </w:pPr>
      <w:r w:rsidRPr="00EC349C">
        <w:rPr>
          <w:rFonts w:cs="Calibri"/>
          <w:b/>
          <w:bCs/>
        </w:rPr>
        <w:t xml:space="preserve">Zadania na kadencję 2024-2028  </w:t>
      </w:r>
    </w:p>
    <w:p w14:paraId="5E7E2E95" w14:textId="77777777" w:rsidR="00EC349C" w:rsidRPr="00EC349C" w:rsidRDefault="00EC349C" w:rsidP="00EC349C">
      <w:pPr>
        <w:tabs>
          <w:tab w:val="left" w:pos="2797"/>
          <w:tab w:val="right" w:pos="9752"/>
        </w:tabs>
        <w:rPr>
          <w:rFonts w:cs="Calibri"/>
          <w:sz w:val="22"/>
          <w:szCs w:val="22"/>
        </w:rPr>
      </w:pPr>
    </w:p>
    <w:p w14:paraId="61D9622F" w14:textId="77777777" w:rsidR="00EC349C" w:rsidRPr="00EC349C" w:rsidRDefault="00EC349C" w:rsidP="00EC349C">
      <w:pPr>
        <w:pStyle w:val="Akapitzlist"/>
        <w:jc w:val="both"/>
        <w:rPr>
          <w:rFonts w:cs="Calibri"/>
        </w:rPr>
      </w:pPr>
      <w:r w:rsidRPr="00EC349C">
        <w:rPr>
          <w:rFonts w:cs="Calibri"/>
        </w:rPr>
        <w:t xml:space="preserve">Do zadań Kierunkowego Zespołu ds. Jakości Kształcenia na Wydziale należy:  </w:t>
      </w:r>
    </w:p>
    <w:p w14:paraId="6B988A9A" w14:textId="77777777" w:rsidR="00EC349C" w:rsidRPr="00EC349C" w:rsidRDefault="00EC349C" w:rsidP="00EC349C">
      <w:pPr>
        <w:pStyle w:val="Akapitzlist"/>
        <w:jc w:val="both"/>
        <w:rPr>
          <w:rFonts w:cs="Calibri"/>
        </w:rPr>
      </w:pPr>
      <w:r w:rsidRPr="00EC349C">
        <w:rPr>
          <w:rFonts w:cs="Calibri"/>
        </w:rPr>
        <w:t xml:space="preserve">1)  przygotowywanie nowych/modyfikowanie programów studiów z uwzględnieniem:  </w:t>
      </w:r>
    </w:p>
    <w:p w14:paraId="560A1481" w14:textId="77777777" w:rsidR="00EC349C" w:rsidRPr="00EC349C" w:rsidRDefault="00EC349C" w:rsidP="00EC349C">
      <w:pPr>
        <w:pStyle w:val="Akapitzlist"/>
        <w:jc w:val="both"/>
        <w:rPr>
          <w:rFonts w:cs="Calibri"/>
        </w:rPr>
      </w:pPr>
      <w:r w:rsidRPr="00EC349C">
        <w:rPr>
          <w:rFonts w:cs="Calibri"/>
        </w:rPr>
        <w:t xml:space="preserve">a) potrzeb otoczenia społeczno-gospodarczego,  </w:t>
      </w:r>
    </w:p>
    <w:p w14:paraId="5BC17BB1" w14:textId="77777777" w:rsidR="00EC349C" w:rsidRPr="00EC349C" w:rsidRDefault="00EC349C" w:rsidP="00EC349C">
      <w:pPr>
        <w:pStyle w:val="Akapitzlist"/>
        <w:jc w:val="both"/>
        <w:rPr>
          <w:rFonts w:cs="Calibri"/>
        </w:rPr>
      </w:pPr>
      <w:r w:rsidRPr="00EC349C">
        <w:rPr>
          <w:rFonts w:cs="Calibri"/>
        </w:rPr>
        <w:t xml:space="preserve">b) wyników monitorowania karier absolwentów,  </w:t>
      </w:r>
    </w:p>
    <w:p w14:paraId="28B3258C" w14:textId="77777777" w:rsidR="00EC349C" w:rsidRPr="00EC349C" w:rsidRDefault="00EC349C" w:rsidP="00EC349C">
      <w:pPr>
        <w:pStyle w:val="Akapitzlist"/>
        <w:jc w:val="both"/>
        <w:rPr>
          <w:rFonts w:cs="Calibri"/>
        </w:rPr>
      </w:pPr>
      <w:r w:rsidRPr="00EC349C">
        <w:rPr>
          <w:rFonts w:cs="Calibri"/>
        </w:rPr>
        <w:t xml:space="preserve">c) zakładanych efektów uczenia się;  </w:t>
      </w:r>
    </w:p>
    <w:p w14:paraId="7BB42314" w14:textId="77777777" w:rsidR="00EC349C" w:rsidRPr="00EC349C" w:rsidRDefault="00EC349C" w:rsidP="00EC349C">
      <w:pPr>
        <w:pStyle w:val="Akapitzlist"/>
        <w:jc w:val="both"/>
        <w:rPr>
          <w:rFonts w:cs="Calibri"/>
        </w:rPr>
      </w:pPr>
      <w:r w:rsidRPr="00EC349C">
        <w:rPr>
          <w:rFonts w:cs="Calibri"/>
        </w:rPr>
        <w:t xml:space="preserve">d) analiza programów studiów pod kątem oceny efektów uczenia się, stanowiąca podstawę </w:t>
      </w:r>
    </w:p>
    <w:p w14:paraId="48B2B173" w14:textId="77777777" w:rsidR="00EC349C" w:rsidRPr="00EC349C" w:rsidRDefault="00EC349C" w:rsidP="00EC349C">
      <w:pPr>
        <w:pStyle w:val="Akapitzlist"/>
        <w:jc w:val="both"/>
        <w:rPr>
          <w:rFonts w:cs="Calibri"/>
        </w:rPr>
      </w:pPr>
      <w:r w:rsidRPr="00EC349C">
        <w:rPr>
          <w:rFonts w:cs="Calibri"/>
        </w:rPr>
        <w:t xml:space="preserve">ich doskonalenia, w tym monitorowanie osiągnięcia kierunkowych efektów uczenia się </w:t>
      </w:r>
    </w:p>
    <w:p w14:paraId="0A4E53EF" w14:textId="77777777" w:rsidR="00EC349C" w:rsidRPr="00EC349C" w:rsidRDefault="00EC349C" w:rsidP="00EC349C">
      <w:pPr>
        <w:pStyle w:val="Akapitzlist"/>
        <w:jc w:val="both"/>
        <w:rPr>
          <w:rFonts w:cs="Calibri"/>
        </w:rPr>
      </w:pPr>
      <w:r w:rsidRPr="00EC349C">
        <w:rPr>
          <w:rFonts w:cs="Calibri"/>
        </w:rPr>
        <w:t xml:space="preserve">przez studentów;  </w:t>
      </w:r>
    </w:p>
    <w:p w14:paraId="79F6B26A" w14:textId="77777777" w:rsidR="00EC349C" w:rsidRPr="00EC349C" w:rsidRDefault="00EC349C" w:rsidP="00EC349C">
      <w:pPr>
        <w:pStyle w:val="Akapitzlist"/>
        <w:jc w:val="both"/>
        <w:rPr>
          <w:rFonts w:cs="Calibri"/>
        </w:rPr>
      </w:pPr>
      <w:r w:rsidRPr="00EC349C">
        <w:rPr>
          <w:rFonts w:cs="Calibri"/>
        </w:rPr>
        <w:t xml:space="preserve">2) wydawanie opinii w sprawie kart przedmiotów po przeprowadzeniu ich analizy, </w:t>
      </w:r>
    </w:p>
    <w:p w14:paraId="08278E5D" w14:textId="77777777" w:rsidR="00EC349C" w:rsidRPr="00EC349C" w:rsidRDefault="00EC349C" w:rsidP="00EC349C">
      <w:pPr>
        <w:pStyle w:val="Akapitzlist"/>
        <w:jc w:val="both"/>
        <w:rPr>
          <w:rFonts w:cs="Calibri"/>
        </w:rPr>
      </w:pPr>
      <w:r w:rsidRPr="00EC349C">
        <w:rPr>
          <w:rFonts w:cs="Calibri"/>
        </w:rPr>
        <w:t xml:space="preserve">uwzględniającej dobór metod, dobór literatury, określenie wymagań wstępnych, nakład pracy </w:t>
      </w:r>
    </w:p>
    <w:p w14:paraId="708D3104" w14:textId="77777777" w:rsidR="00EC349C" w:rsidRPr="00EC349C" w:rsidRDefault="00EC349C" w:rsidP="00EC349C">
      <w:pPr>
        <w:pStyle w:val="Akapitzlist"/>
        <w:jc w:val="both"/>
        <w:rPr>
          <w:rFonts w:cs="Calibri"/>
        </w:rPr>
      </w:pPr>
      <w:r w:rsidRPr="00EC349C">
        <w:rPr>
          <w:rFonts w:cs="Calibri"/>
        </w:rPr>
        <w:t xml:space="preserve">własnej studenta, punkty ECTS, odniesienie efektów przedmiotowych do kierunkowych, </w:t>
      </w:r>
    </w:p>
    <w:p w14:paraId="739E5F3C" w14:textId="77777777" w:rsidR="00EC349C" w:rsidRPr="00EC349C" w:rsidRDefault="00EC349C" w:rsidP="00EC349C">
      <w:pPr>
        <w:pStyle w:val="Akapitzlist"/>
        <w:jc w:val="both"/>
        <w:rPr>
          <w:rFonts w:cs="Calibri"/>
        </w:rPr>
      </w:pPr>
      <w:r w:rsidRPr="00EC349C">
        <w:rPr>
          <w:rFonts w:cs="Calibri"/>
        </w:rPr>
        <w:t xml:space="preserve">adekwatność metod oceny;  </w:t>
      </w:r>
    </w:p>
    <w:p w14:paraId="1DB87982" w14:textId="77777777" w:rsidR="00EC349C" w:rsidRPr="00EC349C" w:rsidRDefault="00EC349C" w:rsidP="00EC349C">
      <w:pPr>
        <w:pStyle w:val="Akapitzlist"/>
        <w:jc w:val="both"/>
        <w:rPr>
          <w:rFonts w:cs="Calibri"/>
        </w:rPr>
      </w:pPr>
      <w:r w:rsidRPr="00EC349C">
        <w:rPr>
          <w:rFonts w:cs="Calibri"/>
        </w:rPr>
        <w:t xml:space="preserve">3) analiza kart przedmiotów w grupach przedmiotów pod względem powielania treści;  </w:t>
      </w:r>
    </w:p>
    <w:p w14:paraId="491A3BAE" w14:textId="77777777" w:rsidR="00EC349C" w:rsidRPr="00EC349C" w:rsidRDefault="00EC349C" w:rsidP="00EC349C">
      <w:pPr>
        <w:pStyle w:val="Akapitzlist"/>
        <w:jc w:val="both"/>
        <w:rPr>
          <w:rFonts w:cs="Calibri"/>
        </w:rPr>
      </w:pPr>
      <w:r w:rsidRPr="00EC349C">
        <w:rPr>
          <w:rFonts w:cs="Calibri"/>
        </w:rPr>
        <w:t xml:space="preserve">4) analiza zgodności tematów prac dyplomowych z kierunkiem studiów oraz weryfikacja prac </w:t>
      </w:r>
    </w:p>
    <w:p w14:paraId="0E7058AE" w14:textId="77777777" w:rsidR="00EC349C" w:rsidRPr="00EC349C" w:rsidRDefault="00EC349C" w:rsidP="00EC349C">
      <w:pPr>
        <w:pStyle w:val="Akapitzlist"/>
        <w:jc w:val="both"/>
        <w:rPr>
          <w:rFonts w:cs="Calibri"/>
        </w:rPr>
      </w:pPr>
      <w:r w:rsidRPr="00EC349C">
        <w:rPr>
          <w:rFonts w:cs="Calibri"/>
        </w:rPr>
        <w:t xml:space="preserve">pod kątem spełniania wymogów stawianych pracom dyplomowym, a także analiza losowo </w:t>
      </w:r>
    </w:p>
    <w:p w14:paraId="0706D638" w14:textId="77777777" w:rsidR="00EC349C" w:rsidRPr="00EC349C" w:rsidRDefault="00EC349C" w:rsidP="00EC349C">
      <w:pPr>
        <w:pStyle w:val="Akapitzlist"/>
        <w:jc w:val="both"/>
        <w:rPr>
          <w:rFonts w:cs="Calibri"/>
        </w:rPr>
      </w:pPr>
      <w:r w:rsidRPr="00EC349C">
        <w:rPr>
          <w:rFonts w:cs="Calibri"/>
        </w:rPr>
        <w:t xml:space="preserve">wybranych prac cząstkowych studentów;  </w:t>
      </w:r>
    </w:p>
    <w:p w14:paraId="2C54CF01" w14:textId="77777777" w:rsidR="00EC349C" w:rsidRPr="00EC349C" w:rsidRDefault="00EC349C" w:rsidP="00EC349C">
      <w:pPr>
        <w:pStyle w:val="Akapitzlist"/>
        <w:jc w:val="both"/>
        <w:rPr>
          <w:rFonts w:cs="Calibri"/>
        </w:rPr>
      </w:pPr>
      <w:r w:rsidRPr="00EC349C">
        <w:rPr>
          <w:rFonts w:cs="Calibri"/>
        </w:rPr>
        <w:t xml:space="preserve">5) analiza dostępności dla studenta nauczycieli akademickich i innych osób prowadzących </w:t>
      </w:r>
    </w:p>
    <w:p w14:paraId="4C9616BB" w14:textId="77777777" w:rsidR="00EC349C" w:rsidRPr="00EC349C" w:rsidRDefault="00EC349C" w:rsidP="00EC349C">
      <w:pPr>
        <w:pStyle w:val="Akapitzlist"/>
        <w:jc w:val="both"/>
        <w:rPr>
          <w:rFonts w:cs="Calibri"/>
        </w:rPr>
      </w:pPr>
      <w:r w:rsidRPr="00EC349C">
        <w:rPr>
          <w:rFonts w:cs="Calibri"/>
        </w:rPr>
        <w:t xml:space="preserve">zajęcia;  </w:t>
      </w:r>
    </w:p>
    <w:p w14:paraId="34F2D4B5" w14:textId="77777777" w:rsidR="00EC349C" w:rsidRPr="00EC349C" w:rsidRDefault="00EC349C" w:rsidP="00EC349C">
      <w:pPr>
        <w:pStyle w:val="Akapitzlist"/>
        <w:jc w:val="both"/>
        <w:rPr>
          <w:rFonts w:cs="Calibri"/>
        </w:rPr>
      </w:pPr>
      <w:r w:rsidRPr="00EC349C">
        <w:rPr>
          <w:rFonts w:cs="Calibri"/>
        </w:rPr>
        <w:t xml:space="preserve">6) monitorowanie sposobów wsparcia studentów w procesie kształcenia oraz dostępności </w:t>
      </w:r>
    </w:p>
    <w:p w14:paraId="62D6F640" w14:textId="77777777" w:rsidR="00EC349C" w:rsidRPr="00EC349C" w:rsidRDefault="00EC349C" w:rsidP="00EC349C">
      <w:pPr>
        <w:pStyle w:val="Akapitzlist"/>
        <w:jc w:val="both"/>
        <w:rPr>
          <w:rFonts w:cs="Calibri"/>
        </w:rPr>
      </w:pPr>
      <w:r w:rsidRPr="00EC349C">
        <w:rPr>
          <w:rFonts w:cs="Calibri"/>
        </w:rPr>
        <w:t xml:space="preserve">kształcenia dla osób z niepełnosprawnościami; </w:t>
      </w:r>
    </w:p>
    <w:p w14:paraId="6BB1CE90" w14:textId="77777777" w:rsidR="00EC349C" w:rsidRPr="00EC349C" w:rsidRDefault="00EC349C" w:rsidP="00EC349C">
      <w:pPr>
        <w:pStyle w:val="Akapitzlist"/>
        <w:jc w:val="both"/>
        <w:rPr>
          <w:rFonts w:cs="Calibri"/>
        </w:rPr>
      </w:pPr>
      <w:r w:rsidRPr="00EC349C">
        <w:rPr>
          <w:rFonts w:cs="Calibri"/>
        </w:rPr>
        <w:t xml:space="preserve">7) analiza współpracy z interesariuszami wewnętrznymi i zewnętrznymi w zakresie </w:t>
      </w:r>
    </w:p>
    <w:p w14:paraId="1F4E57EF" w14:textId="77777777" w:rsidR="00EC349C" w:rsidRPr="00EC349C" w:rsidRDefault="00EC349C" w:rsidP="00EC349C">
      <w:pPr>
        <w:pStyle w:val="Akapitzlist"/>
        <w:jc w:val="both"/>
        <w:rPr>
          <w:rFonts w:cs="Calibri"/>
        </w:rPr>
      </w:pPr>
      <w:r w:rsidRPr="00EC349C">
        <w:rPr>
          <w:rFonts w:cs="Calibri"/>
        </w:rPr>
        <w:t xml:space="preserve">realizowanego/modyfikowanego/przygotowywanego programu studiów;  </w:t>
      </w:r>
    </w:p>
    <w:p w14:paraId="1B903BC6" w14:textId="77777777" w:rsidR="00EC349C" w:rsidRPr="00EC349C" w:rsidRDefault="00EC349C" w:rsidP="00EC349C">
      <w:pPr>
        <w:pStyle w:val="Akapitzlist"/>
        <w:jc w:val="both"/>
        <w:rPr>
          <w:rFonts w:cs="Calibri"/>
        </w:rPr>
      </w:pPr>
      <w:r w:rsidRPr="00EC349C">
        <w:rPr>
          <w:rFonts w:cs="Calibri"/>
        </w:rPr>
        <w:t xml:space="preserve">8) przedstawianie WKK/KKF, wyników samooceny z zakresu jakości kształcenia w formie </w:t>
      </w:r>
    </w:p>
    <w:p w14:paraId="0751ED81" w14:textId="77777777" w:rsidR="00EC349C" w:rsidRPr="00EC349C" w:rsidRDefault="00EC349C" w:rsidP="00EC349C">
      <w:pPr>
        <w:pStyle w:val="Akapitzlist"/>
        <w:jc w:val="both"/>
        <w:rPr>
          <w:rFonts w:cs="Calibri"/>
        </w:rPr>
      </w:pPr>
      <w:r w:rsidRPr="00EC349C">
        <w:rPr>
          <w:rFonts w:cs="Calibri"/>
        </w:rPr>
        <w:t xml:space="preserve">corocznego sprawozdania </w:t>
      </w:r>
    </w:p>
    <w:p w14:paraId="6D1127C8" w14:textId="77777777" w:rsidR="00EC349C" w:rsidRPr="00EC349C" w:rsidRDefault="00EC349C" w:rsidP="00EC349C">
      <w:pPr>
        <w:pStyle w:val="Akapitzlist"/>
        <w:jc w:val="both"/>
        <w:rPr>
          <w:rFonts w:cs="Calibri"/>
        </w:rPr>
      </w:pPr>
      <w:r w:rsidRPr="00EC349C">
        <w:rPr>
          <w:rFonts w:cs="Calibri"/>
        </w:rPr>
        <w:t xml:space="preserve">Opracowano na podstawie Zarządzenia Nr 148/2024 Rektora UJK w sprawie określenia </w:t>
      </w:r>
    </w:p>
    <w:p w14:paraId="46300D28" w14:textId="77777777" w:rsidR="00EC349C" w:rsidRPr="00EC349C" w:rsidRDefault="00EC349C" w:rsidP="00EC349C">
      <w:pPr>
        <w:pStyle w:val="Akapitzlist"/>
        <w:jc w:val="both"/>
        <w:rPr>
          <w:rFonts w:cs="Calibri"/>
        </w:rPr>
      </w:pPr>
      <w:r w:rsidRPr="00EC349C">
        <w:rPr>
          <w:rFonts w:cs="Calibri"/>
        </w:rPr>
        <w:t xml:space="preserve">szczegółowych zadań Uniwersyteckiej Komisji ds. Kształcenia, wydziałowych komisji ds. </w:t>
      </w:r>
    </w:p>
    <w:p w14:paraId="74F92474" w14:textId="7D303080" w:rsidR="00EC349C" w:rsidRDefault="00EC349C" w:rsidP="00EC349C">
      <w:pPr>
        <w:pStyle w:val="Akapitzlist"/>
        <w:jc w:val="both"/>
        <w:rPr>
          <w:rFonts w:cs="Calibri"/>
        </w:rPr>
      </w:pPr>
      <w:r w:rsidRPr="00EC349C">
        <w:rPr>
          <w:rFonts w:cs="Calibri"/>
        </w:rPr>
        <w:t>kształcenia/ Komisji ds. kształcenia w Filii oraz zespołów działających w ramach Wewnętrznego Systemu Zapewniania Jakości Kształcenia.</w:t>
      </w:r>
    </w:p>
    <w:p w14:paraId="1B28BC69" w14:textId="77777777" w:rsidR="00EC349C" w:rsidRDefault="00EC349C" w:rsidP="000F05AD">
      <w:pPr>
        <w:pStyle w:val="Akapitzlist"/>
        <w:ind w:left="0"/>
        <w:jc w:val="both"/>
        <w:rPr>
          <w:rFonts w:cs="Calibri"/>
        </w:rPr>
      </w:pPr>
    </w:p>
    <w:p w14:paraId="58782063" w14:textId="77777777" w:rsidR="00EC349C" w:rsidRDefault="00EC349C" w:rsidP="000F05AD">
      <w:pPr>
        <w:pStyle w:val="Akapitzlist"/>
        <w:ind w:left="0"/>
        <w:jc w:val="both"/>
        <w:rPr>
          <w:rFonts w:cs="Calibri"/>
        </w:rPr>
      </w:pPr>
    </w:p>
    <w:p w14:paraId="64556B18" w14:textId="77777777" w:rsidR="000F05AD" w:rsidRPr="00971A98" w:rsidRDefault="000F05AD" w:rsidP="000F05AD">
      <w:pPr>
        <w:pStyle w:val="Akapitzlist"/>
        <w:ind w:left="0"/>
        <w:jc w:val="both"/>
        <w:rPr>
          <w:rFonts w:cs="Calibri"/>
        </w:rPr>
      </w:pPr>
    </w:p>
    <w:p w14:paraId="1022A994" w14:textId="77777777" w:rsidR="000F05AD" w:rsidRPr="00971A98" w:rsidRDefault="000F05AD" w:rsidP="000F05AD">
      <w:pPr>
        <w:pStyle w:val="Akapitzlist"/>
        <w:ind w:left="0"/>
        <w:jc w:val="both"/>
        <w:rPr>
          <w:rFonts w:cs="Calibri"/>
        </w:rPr>
      </w:pPr>
    </w:p>
    <w:p w14:paraId="0AFE2C1C" w14:textId="6A9D9631" w:rsidR="00D3434C" w:rsidRPr="00EC349C" w:rsidRDefault="00A26A0C" w:rsidP="00EC349C">
      <w:pPr>
        <w:ind w:left="4956" w:firstLine="708"/>
        <w:jc w:val="both"/>
        <w:rPr>
          <w:rFonts w:cs="Segoe UI"/>
        </w:rPr>
      </w:pPr>
      <w:r w:rsidRPr="0017422C">
        <w:rPr>
          <w:rFonts w:cs="Segoe UI"/>
        </w:rPr>
        <w:t xml:space="preserve">     </w:t>
      </w:r>
    </w:p>
    <w:sectPr w:rsidR="00D3434C" w:rsidRPr="00EC349C" w:rsidSect="00006D68">
      <w:headerReference w:type="default" r:id="rId7"/>
      <w:footerReference w:type="default" r:id="rId8"/>
      <w:pgSz w:w="11906" w:h="16838"/>
      <w:pgMar w:top="1661" w:right="1077" w:bottom="1440" w:left="1077" w:header="519" w:footer="2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FC7F1" w14:textId="77777777" w:rsidR="00B722EF" w:rsidRDefault="00B722EF" w:rsidP="00030E4C">
      <w:r>
        <w:separator/>
      </w:r>
    </w:p>
  </w:endnote>
  <w:endnote w:type="continuationSeparator" w:id="0">
    <w:p w14:paraId="0C6F74F4" w14:textId="77777777" w:rsidR="00B722EF" w:rsidRDefault="00B722EF" w:rsidP="00030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80CFF" w14:textId="77777777" w:rsidR="001110D6" w:rsidRDefault="001110D6"/>
  <w:tbl>
    <w:tblPr>
      <w:tblStyle w:val="Tabela-Siatka"/>
      <w:tblW w:w="102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4394"/>
      <w:gridCol w:w="3260"/>
    </w:tblGrid>
    <w:tr w:rsidR="00891629" w14:paraId="55C774B0" w14:textId="77777777" w:rsidTr="0098554C">
      <w:trPr>
        <w:trHeight w:val="1411"/>
      </w:trPr>
      <w:tc>
        <w:tcPr>
          <w:tcW w:w="2547" w:type="dxa"/>
        </w:tcPr>
        <w:p w14:paraId="121FA074" w14:textId="0BB56688" w:rsidR="00AA3893" w:rsidRDefault="00AA3893" w:rsidP="00071DC0">
          <w:pPr>
            <w:pStyle w:val="Stopka"/>
            <w:tabs>
              <w:tab w:val="clear" w:pos="4536"/>
              <w:tab w:val="center" w:pos="5529"/>
            </w:tabs>
            <w:rPr>
              <w:rFonts w:ascii="Lato" w:hAnsi="Lato"/>
              <w:b/>
              <w:bCs/>
              <w:sz w:val="15"/>
              <w:szCs w:val="15"/>
            </w:rPr>
          </w:pPr>
        </w:p>
      </w:tc>
      <w:tc>
        <w:tcPr>
          <w:tcW w:w="4394" w:type="dxa"/>
        </w:tcPr>
        <w:p w14:paraId="625B2B80" w14:textId="5D2899EF" w:rsidR="00AA3893" w:rsidRDefault="00AA3893" w:rsidP="00071DC0">
          <w:pPr>
            <w:pStyle w:val="Stopka"/>
            <w:tabs>
              <w:tab w:val="clear" w:pos="4536"/>
              <w:tab w:val="center" w:pos="5529"/>
            </w:tabs>
            <w:rPr>
              <w:rFonts w:ascii="Lato" w:hAnsi="Lato"/>
              <w:b/>
              <w:bCs/>
              <w:sz w:val="15"/>
              <w:szCs w:val="15"/>
            </w:rPr>
          </w:pPr>
        </w:p>
      </w:tc>
      <w:tc>
        <w:tcPr>
          <w:tcW w:w="3260" w:type="dxa"/>
        </w:tcPr>
        <w:p w14:paraId="5EA0B187" w14:textId="395030EA" w:rsidR="00AA3893" w:rsidRDefault="009A25F5" w:rsidP="00071DC0">
          <w:pPr>
            <w:pStyle w:val="Stopka"/>
            <w:tabs>
              <w:tab w:val="clear" w:pos="4536"/>
              <w:tab w:val="center" w:pos="5529"/>
            </w:tabs>
            <w:rPr>
              <w:rFonts w:ascii="Lato" w:hAnsi="Lato"/>
              <w:b/>
              <w:bCs/>
              <w:sz w:val="15"/>
              <w:szCs w:val="15"/>
            </w:rPr>
          </w:pPr>
          <w:r>
            <w:rPr>
              <w:rFonts w:ascii="Lato" w:hAnsi="Lato"/>
              <w:b/>
              <w:bCs/>
              <w:noProof/>
              <w:sz w:val="15"/>
              <w:szCs w:val="15"/>
            </w:rPr>
            <w:drawing>
              <wp:anchor distT="0" distB="0" distL="114300" distR="114300" simplePos="0" relativeHeight="251660288" behindDoc="1" locked="0" layoutInCell="1" allowOverlap="1" wp14:anchorId="75DDEDCC" wp14:editId="0AF5AFDD">
                <wp:simplePos x="0" y="0"/>
                <wp:positionH relativeFrom="column">
                  <wp:posOffset>-33655</wp:posOffset>
                </wp:positionH>
                <wp:positionV relativeFrom="paragraph">
                  <wp:posOffset>0</wp:posOffset>
                </wp:positionV>
                <wp:extent cx="641985" cy="908685"/>
                <wp:effectExtent l="0" t="0" r="0" b="0"/>
                <wp:wrapTight wrapText="bothSides">
                  <wp:wrapPolygon edited="0">
                    <wp:start x="11537" y="1811"/>
                    <wp:lineTo x="1923" y="9962"/>
                    <wp:lineTo x="1923" y="10415"/>
                    <wp:lineTo x="11537" y="19472"/>
                    <wp:lineTo x="19228" y="19472"/>
                    <wp:lineTo x="17947" y="17208"/>
                    <wp:lineTo x="10896" y="9962"/>
                    <wp:lineTo x="19228" y="3170"/>
                    <wp:lineTo x="19228" y="1811"/>
                    <wp:lineTo x="11537" y="1811"/>
                  </wp:wrapPolygon>
                </wp:wrapTight>
                <wp:docPr id="1272389376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72389376" name="Obraz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985" cy="908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791DFA">
            <w:rPr>
              <w:rFonts w:ascii="Lato" w:hAnsi="Lato"/>
              <w:b/>
              <w:bCs/>
              <w:noProof/>
              <w:sz w:val="15"/>
              <w:szCs w:val="15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86D8D35" wp14:editId="01F29431">
                    <wp:simplePos x="0" y="0"/>
                    <wp:positionH relativeFrom="column">
                      <wp:posOffset>504825</wp:posOffset>
                    </wp:positionH>
                    <wp:positionV relativeFrom="paragraph">
                      <wp:posOffset>78105</wp:posOffset>
                    </wp:positionV>
                    <wp:extent cx="1386840" cy="863600"/>
                    <wp:effectExtent l="0" t="0" r="0" b="0"/>
                    <wp:wrapNone/>
                    <wp:docPr id="1868208160" name="Pole tekstowe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386840" cy="8636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9B28D0F" w14:textId="02526C97" w:rsidR="000E6E97" w:rsidRPr="00A0123A" w:rsidRDefault="00EC349C" w:rsidP="00C47CB5">
                                <w:r w:rsidRPr="00EC349C">
                                  <w:rPr>
                                    <w:rFonts w:ascii="Lato" w:hAnsi="Lato"/>
                                    <w:b/>
                                    <w:bCs/>
                                    <w:sz w:val="14"/>
                                    <w:szCs w:val="14"/>
                                  </w:rPr>
                                  <w:t>Uniwersytet Jana Kochanowskiego w Kielcach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86D8D35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5" o:spid="_x0000_s1026" type="#_x0000_t202" style="position:absolute;margin-left:39.75pt;margin-top:6.15pt;width:109.2pt;height:6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" filled="f" stroked="f" strokeweight=".5pt">
                    <v:textbox>
                      <w:txbxContent>
                        <w:p w14:paraId="79B28D0F" w14:textId="02526C97" w:rsidR="000E6E97" w:rsidRPr="00A0123A" w:rsidRDefault="00EC349C" w:rsidP="00C47CB5">
                          <w:r w:rsidRPr="00EC349C">
                            <w:rPr>
                              <w:rFonts w:ascii="Lato" w:hAnsi="Lato"/>
                              <w:b/>
                              <w:bCs/>
                              <w:sz w:val="14"/>
                              <w:szCs w:val="14"/>
                            </w:rPr>
                            <w:t>Uniwersytet Jana Kochanowskiego w Kielcach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3DEE0788" w14:textId="0A8080A5" w:rsidR="00071DC0" w:rsidRPr="00D22A14" w:rsidRDefault="00071DC0" w:rsidP="00071DC0">
    <w:pPr>
      <w:pStyle w:val="Stopka"/>
      <w:tabs>
        <w:tab w:val="clear" w:pos="4536"/>
        <w:tab w:val="center" w:pos="5529"/>
      </w:tabs>
      <w:rPr>
        <w:rFonts w:ascii="Lato" w:hAnsi="Lato"/>
        <w:b/>
        <w:bCs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92AD9" w14:textId="77777777" w:rsidR="00B722EF" w:rsidRDefault="00B722EF" w:rsidP="00030E4C">
      <w:r>
        <w:separator/>
      </w:r>
    </w:p>
  </w:footnote>
  <w:footnote w:type="continuationSeparator" w:id="0">
    <w:p w14:paraId="1F5173D1" w14:textId="77777777" w:rsidR="00B722EF" w:rsidRDefault="00B722EF" w:rsidP="00030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C3B08" w14:textId="62A20345" w:rsidR="00030E4C" w:rsidRDefault="00030E4C" w:rsidP="00D22A14">
    <w:pPr>
      <w:pStyle w:val="Nagwek"/>
      <w:jc w:val="center"/>
    </w:pPr>
    <w:r>
      <w:rPr>
        <w:noProof/>
      </w:rPr>
      <w:drawing>
        <wp:inline distT="0" distB="0" distL="0" distR="0" wp14:anchorId="14F45660" wp14:editId="6B9865B8">
          <wp:extent cx="2373673" cy="1216742"/>
          <wp:effectExtent l="0" t="0" r="0" b="0"/>
          <wp:docPr id="8566482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6648275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8" r="268"/>
                  <a:stretch>
                    <a:fillRect/>
                  </a:stretch>
                </pic:blipFill>
                <pic:spPr bwMode="auto">
                  <a:xfrm>
                    <a:off x="0" y="0"/>
                    <a:ext cx="2373673" cy="12167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5F16"/>
    <w:multiLevelType w:val="hybridMultilevel"/>
    <w:tmpl w:val="2EBE82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150B1F"/>
    <w:multiLevelType w:val="hybridMultilevel"/>
    <w:tmpl w:val="C188E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B4601"/>
    <w:multiLevelType w:val="hybridMultilevel"/>
    <w:tmpl w:val="B798F5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B9C7D9D"/>
    <w:multiLevelType w:val="hybridMultilevel"/>
    <w:tmpl w:val="AD705414"/>
    <w:lvl w:ilvl="0" w:tplc="58B21722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 w16cid:durableId="1064914161">
    <w:abstractNumId w:val="3"/>
  </w:num>
  <w:num w:numId="2" w16cid:durableId="89129884">
    <w:abstractNumId w:val="1"/>
  </w:num>
  <w:num w:numId="3" w16cid:durableId="740177701">
    <w:abstractNumId w:val="2"/>
  </w:num>
  <w:num w:numId="4" w16cid:durableId="26562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4C"/>
    <w:rsid w:val="000022BE"/>
    <w:rsid w:val="00006D68"/>
    <w:rsid w:val="00014BF0"/>
    <w:rsid w:val="000206DB"/>
    <w:rsid w:val="00022D36"/>
    <w:rsid w:val="00030E4C"/>
    <w:rsid w:val="00033516"/>
    <w:rsid w:val="0004127B"/>
    <w:rsid w:val="00057E18"/>
    <w:rsid w:val="00065BAC"/>
    <w:rsid w:val="00066EAB"/>
    <w:rsid w:val="00071DC0"/>
    <w:rsid w:val="00074D9D"/>
    <w:rsid w:val="0008778B"/>
    <w:rsid w:val="000A50B1"/>
    <w:rsid w:val="000A5CAF"/>
    <w:rsid w:val="000B2093"/>
    <w:rsid w:val="000D4547"/>
    <w:rsid w:val="000E156D"/>
    <w:rsid w:val="000E2821"/>
    <w:rsid w:val="000E36AD"/>
    <w:rsid w:val="000E4DD6"/>
    <w:rsid w:val="000E514B"/>
    <w:rsid w:val="000E6E97"/>
    <w:rsid w:val="000F01AE"/>
    <w:rsid w:val="000F05AD"/>
    <w:rsid w:val="000F7FA8"/>
    <w:rsid w:val="001079F4"/>
    <w:rsid w:val="001110D6"/>
    <w:rsid w:val="0011767E"/>
    <w:rsid w:val="001211E7"/>
    <w:rsid w:val="001217FD"/>
    <w:rsid w:val="00157F7F"/>
    <w:rsid w:val="0017094C"/>
    <w:rsid w:val="0017422C"/>
    <w:rsid w:val="00196E3F"/>
    <w:rsid w:val="001D37B9"/>
    <w:rsid w:val="001D6B30"/>
    <w:rsid w:val="00234E8B"/>
    <w:rsid w:val="00242158"/>
    <w:rsid w:val="00254C81"/>
    <w:rsid w:val="00271984"/>
    <w:rsid w:val="00275D90"/>
    <w:rsid w:val="00276D05"/>
    <w:rsid w:val="0028225F"/>
    <w:rsid w:val="0029146C"/>
    <w:rsid w:val="002A0AAC"/>
    <w:rsid w:val="002B6C51"/>
    <w:rsid w:val="002C2609"/>
    <w:rsid w:val="002C31D7"/>
    <w:rsid w:val="002C5A69"/>
    <w:rsid w:val="00300EBD"/>
    <w:rsid w:val="00310403"/>
    <w:rsid w:val="00313AC3"/>
    <w:rsid w:val="00330A2D"/>
    <w:rsid w:val="00347855"/>
    <w:rsid w:val="00352ECB"/>
    <w:rsid w:val="00353660"/>
    <w:rsid w:val="00365E6A"/>
    <w:rsid w:val="003844CB"/>
    <w:rsid w:val="00392192"/>
    <w:rsid w:val="003B7901"/>
    <w:rsid w:val="003C04DF"/>
    <w:rsid w:val="003D1364"/>
    <w:rsid w:val="003D380D"/>
    <w:rsid w:val="003D57E3"/>
    <w:rsid w:val="003D69FA"/>
    <w:rsid w:val="003E124D"/>
    <w:rsid w:val="003E331B"/>
    <w:rsid w:val="003E4E5B"/>
    <w:rsid w:val="004011A6"/>
    <w:rsid w:val="00415BE9"/>
    <w:rsid w:val="00423E1E"/>
    <w:rsid w:val="00462F5C"/>
    <w:rsid w:val="00467D99"/>
    <w:rsid w:val="0048319C"/>
    <w:rsid w:val="00485BF8"/>
    <w:rsid w:val="004911CD"/>
    <w:rsid w:val="004A3FEA"/>
    <w:rsid w:val="004A5DFF"/>
    <w:rsid w:val="00510E53"/>
    <w:rsid w:val="0051125D"/>
    <w:rsid w:val="00553D87"/>
    <w:rsid w:val="00566BBD"/>
    <w:rsid w:val="0057368A"/>
    <w:rsid w:val="00587724"/>
    <w:rsid w:val="005C61DC"/>
    <w:rsid w:val="005D19DA"/>
    <w:rsid w:val="006207B0"/>
    <w:rsid w:val="00620A94"/>
    <w:rsid w:val="00624EF8"/>
    <w:rsid w:val="00632333"/>
    <w:rsid w:val="00636694"/>
    <w:rsid w:val="006462D2"/>
    <w:rsid w:val="00681D9B"/>
    <w:rsid w:val="0068546E"/>
    <w:rsid w:val="006868F1"/>
    <w:rsid w:val="0069031F"/>
    <w:rsid w:val="006B1C26"/>
    <w:rsid w:val="006B6FAA"/>
    <w:rsid w:val="006C286A"/>
    <w:rsid w:val="006E370E"/>
    <w:rsid w:val="007026EA"/>
    <w:rsid w:val="00706677"/>
    <w:rsid w:val="00732763"/>
    <w:rsid w:val="007417AD"/>
    <w:rsid w:val="00766CB3"/>
    <w:rsid w:val="00774609"/>
    <w:rsid w:val="00791DFA"/>
    <w:rsid w:val="00793E9F"/>
    <w:rsid w:val="007B0136"/>
    <w:rsid w:val="007D2273"/>
    <w:rsid w:val="008123BE"/>
    <w:rsid w:val="00814C5D"/>
    <w:rsid w:val="0082198D"/>
    <w:rsid w:val="00840B44"/>
    <w:rsid w:val="00841C6C"/>
    <w:rsid w:val="00841D4E"/>
    <w:rsid w:val="00854267"/>
    <w:rsid w:val="00856608"/>
    <w:rsid w:val="00863A51"/>
    <w:rsid w:val="00863E1D"/>
    <w:rsid w:val="0086602E"/>
    <w:rsid w:val="00891629"/>
    <w:rsid w:val="008C0F54"/>
    <w:rsid w:val="008C38C5"/>
    <w:rsid w:val="008F359E"/>
    <w:rsid w:val="00904736"/>
    <w:rsid w:val="009109C1"/>
    <w:rsid w:val="00922C2A"/>
    <w:rsid w:val="00934A5A"/>
    <w:rsid w:val="00953A90"/>
    <w:rsid w:val="00971A98"/>
    <w:rsid w:val="0098554C"/>
    <w:rsid w:val="00993ADF"/>
    <w:rsid w:val="009A25F5"/>
    <w:rsid w:val="009D529D"/>
    <w:rsid w:val="009F0117"/>
    <w:rsid w:val="00A0123A"/>
    <w:rsid w:val="00A0343C"/>
    <w:rsid w:val="00A124AB"/>
    <w:rsid w:val="00A12FB3"/>
    <w:rsid w:val="00A1408B"/>
    <w:rsid w:val="00A26A0C"/>
    <w:rsid w:val="00A520CD"/>
    <w:rsid w:val="00A526F8"/>
    <w:rsid w:val="00A53BFA"/>
    <w:rsid w:val="00A64C0C"/>
    <w:rsid w:val="00A81717"/>
    <w:rsid w:val="00AA3893"/>
    <w:rsid w:val="00AA7D87"/>
    <w:rsid w:val="00AC0908"/>
    <w:rsid w:val="00AD3257"/>
    <w:rsid w:val="00AE4FD0"/>
    <w:rsid w:val="00B01AB3"/>
    <w:rsid w:val="00B15D20"/>
    <w:rsid w:val="00B23EA3"/>
    <w:rsid w:val="00B2664B"/>
    <w:rsid w:val="00B266F1"/>
    <w:rsid w:val="00B42B7E"/>
    <w:rsid w:val="00B56A75"/>
    <w:rsid w:val="00B65C64"/>
    <w:rsid w:val="00B722EF"/>
    <w:rsid w:val="00B73C9D"/>
    <w:rsid w:val="00B8629D"/>
    <w:rsid w:val="00B92F65"/>
    <w:rsid w:val="00BD3460"/>
    <w:rsid w:val="00BD3988"/>
    <w:rsid w:val="00BF5CBC"/>
    <w:rsid w:val="00BF71C4"/>
    <w:rsid w:val="00C0661A"/>
    <w:rsid w:val="00C31340"/>
    <w:rsid w:val="00C35747"/>
    <w:rsid w:val="00C367F1"/>
    <w:rsid w:val="00C37924"/>
    <w:rsid w:val="00C4502A"/>
    <w:rsid w:val="00C47CB5"/>
    <w:rsid w:val="00C502D9"/>
    <w:rsid w:val="00C533A1"/>
    <w:rsid w:val="00C57450"/>
    <w:rsid w:val="00C6326C"/>
    <w:rsid w:val="00CA4F7D"/>
    <w:rsid w:val="00CA5DAE"/>
    <w:rsid w:val="00CD15E6"/>
    <w:rsid w:val="00D22A14"/>
    <w:rsid w:val="00D23F8E"/>
    <w:rsid w:val="00D3434C"/>
    <w:rsid w:val="00D35842"/>
    <w:rsid w:val="00D4404D"/>
    <w:rsid w:val="00DA4C3A"/>
    <w:rsid w:val="00DB4D9B"/>
    <w:rsid w:val="00DC203C"/>
    <w:rsid w:val="00DD46A9"/>
    <w:rsid w:val="00DF4548"/>
    <w:rsid w:val="00E1126E"/>
    <w:rsid w:val="00E225DB"/>
    <w:rsid w:val="00E5432E"/>
    <w:rsid w:val="00E66BE2"/>
    <w:rsid w:val="00E71385"/>
    <w:rsid w:val="00E72B8E"/>
    <w:rsid w:val="00E95501"/>
    <w:rsid w:val="00EB3135"/>
    <w:rsid w:val="00EB7F9D"/>
    <w:rsid w:val="00EC1F84"/>
    <w:rsid w:val="00EC349C"/>
    <w:rsid w:val="00EC61CE"/>
    <w:rsid w:val="00EC7163"/>
    <w:rsid w:val="00ED6C4C"/>
    <w:rsid w:val="00ED798A"/>
    <w:rsid w:val="00EE1DCD"/>
    <w:rsid w:val="00EE7797"/>
    <w:rsid w:val="00EF42EE"/>
    <w:rsid w:val="00EF4AD2"/>
    <w:rsid w:val="00EF7E0B"/>
    <w:rsid w:val="00F02BE1"/>
    <w:rsid w:val="00F061A0"/>
    <w:rsid w:val="00F25129"/>
    <w:rsid w:val="00F50D27"/>
    <w:rsid w:val="00F742D6"/>
    <w:rsid w:val="00F93D70"/>
    <w:rsid w:val="00FA5053"/>
    <w:rsid w:val="00FB1718"/>
    <w:rsid w:val="00FB495A"/>
    <w:rsid w:val="00FC23A3"/>
    <w:rsid w:val="00FD0C24"/>
    <w:rsid w:val="00FE7685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64144"/>
  <w15:chartTrackingRefBased/>
  <w15:docId w15:val="{2EA3B233-2466-9840-81B8-2A12A2BC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0E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0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0E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0E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0E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0E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0E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0E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0E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0E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0E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0E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0E4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0E4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0E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0E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0E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0E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0E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0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0E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0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0E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0E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0E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0E4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0E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0E4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0E4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30E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0E4C"/>
  </w:style>
  <w:style w:type="paragraph" w:styleId="Stopka">
    <w:name w:val="footer"/>
    <w:basedOn w:val="Normalny"/>
    <w:link w:val="StopkaZnak"/>
    <w:uiPriority w:val="99"/>
    <w:unhideWhenUsed/>
    <w:rsid w:val="00030E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0E4C"/>
  </w:style>
  <w:style w:type="table" w:styleId="Tabela-Siatka">
    <w:name w:val="Table Grid"/>
    <w:basedOn w:val="Standardowy"/>
    <w:uiPriority w:val="39"/>
    <w:rsid w:val="00AA3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9219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2192"/>
    <w:rPr>
      <w:color w:val="605E5C"/>
      <w:shd w:val="clear" w:color="auto" w:fill="E1DFDD"/>
    </w:rPr>
  </w:style>
  <w:style w:type="paragraph" w:customStyle="1" w:styleId="Tekstwyrniony">
    <w:name w:val="Tekst wyróżniony"/>
    <w:basedOn w:val="Normalny"/>
    <w:link w:val="Tekstwyrnionyznak"/>
    <w:qFormat/>
    <w:rsid w:val="00953A90"/>
    <w:pPr>
      <w:spacing w:line="276" w:lineRule="auto"/>
    </w:pPr>
    <w:rPr>
      <w:rFonts w:eastAsiaTheme="minorEastAsia"/>
      <w:color w:val="0E2841" w:themeColor="text2"/>
      <w:kern w:val="0"/>
      <w:szCs w:val="22"/>
      <w14:ligatures w14:val="none"/>
    </w:rPr>
  </w:style>
  <w:style w:type="character" w:customStyle="1" w:styleId="Tekstwyrnionyznak">
    <w:name w:val="Tekst wyróżniony — znak"/>
    <w:basedOn w:val="Domylnaczcionkaakapitu"/>
    <w:link w:val="Tekstwyrniony"/>
    <w:rsid w:val="00953A90"/>
    <w:rPr>
      <w:rFonts w:eastAsiaTheme="minorEastAsia"/>
      <w:color w:val="0E2841" w:themeColor="text2"/>
      <w:kern w:val="0"/>
      <w:szCs w:val="22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3A90"/>
    <w:rPr>
      <w:rFonts w:eastAsiaTheme="minorEastAsia"/>
      <w:color w:val="0E2841" w:themeColor="text2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3A90"/>
    <w:rPr>
      <w:rFonts w:eastAsiaTheme="minorEastAsia"/>
      <w:color w:val="0E2841" w:themeColor="text2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3A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5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1670</Characters>
  <Application>Microsoft Office Word</Application>
  <DocSecurity>0</DocSecurity>
  <Lines>43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Chrząstek</dc:creator>
  <cp:keywords/>
  <dc:description/>
  <cp:lastModifiedBy>Jacek Szkurłat</cp:lastModifiedBy>
  <cp:revision>6</cp:revision>
  <cp:lastPrinted>2025-01-07T09:35:00Z</cp:lastPrinted>
  <dcterms:created xsi:type="dcterms:W3CDTF">2025-01-22T17:07:00Z</dcterms:created>
  <dcterms:modified xsi:type="dcterms:W3CDTF">2025-11-27T19:07:00Z</dcterms:modified>
</cp:coreProperties>
</file>