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ab/>
      </w:r>
    </w:p>
    <w:p xmlns:wp14="http://schemas.microsoft.com/office/word/2010/wordml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KARTA PRZEDMIOTU</w:t>
      </w:r>
    </w:p>
    <w:p xmlns:wp14="http://schemas.microsoft.com/office/word/2010/wordml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="001511D9" w:rsidTr="001E1B38" w14:paraId="360BBF48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1477BD15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7177F0" w:rsidP="007177F0" w:rsidRDefault="007177F0" w14:paraId="203C799D" wp14:textId="777777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0112-3PPW-C13-DSD</w:t>
            </w:r>
          </w:p>
          <w:p w:rsidR="001511D9" w:rsidP="001E1B38" w:rsidRDefault="001511D9" w14:paraId="5DAB6C7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1511D9" w:rsidTr="00B54E9B" w14:paraId="743C279F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7177F0" w:rsidP="007177F0" w:rsidRDefault="007177F0" w14:paraId="34D8CC75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Dojrzałość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szkolna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diagnozowanie</w:t>
            </w:r>
            <w:proofErr w:type="spellEnd"/>
          </w:p>
          <w:p w:rsidR="001E1B38" w:rsidP="00BE32B3" w:rsidRDefault="007177F0" w14:paraId="551DCB3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School Readiness - Diagnosis</w:t>
            </w:r>
          </w:p>
        </w:tc>
      </w:tr>
      <w:tr xmlns:wp14="http://schemas.microsoft.com/office/word/2010/wordml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RDefault="001511D9" w14:paraId="02EB378F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6A05A80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1511D9" w:rsidP="001511D9" w:rsidRDefault="001511D9" w14:paraId="5A39BBE3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37ACE7D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47226B" w14:paraId="2ADC8EA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2365D7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47226B" w14:paraId="3C81873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49C1706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3E57" w:rsidP="0047226B" w:rsidRDefault="0047226B" w14:paraId="1EF9D0A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436D0808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47226B" w14:paraId="37EEED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="00142D17" w:rsidTr="001E1B38" w14:paraId="1B572D0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0D34FA" w:rsidRDefault="00142D17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7D4773" w:rsidRDefault="00142D17" w14:paraId="31FCD31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Aldona Kopik</w:t>
            </w:r>
          </w:p>
        </w:tc>
      </w:tr>
      <w:tr xmlns:wp14="http://schemas.microsoft.com/office/word/2010/wordml" w:rsidR="00142D17" w:rsidTr="001E1B38" w14:paraId="42D34A1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992C8B" w:rsidRDefault="00142D17" w14:paraId="151BB32C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7D4773" w:rsidRDefault="009D2AE9" w14:paraId="2070DB9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ldona.kopik</w:t>
            </w:r>
            <w:r w:rsidR="00142D17">
              <w:rPr>
                <w:rFonts w:ascii="Times New Roman" w:hAnsi="Times New Roman" w:cs="Times New Roman"/>
                <w:sz w:val="20"/>
                <w:szCs w:val="20"/>
              </w:rPr>
              <w:t>@ujk.edu.pl</w:t>
            </w:r>
          </w:p>
        </w:tc>
      </w:tr>
    </w:tbl>
    <w:p xmlns:wp14="http://schemas.microsoft.com/office/word/2010/wordml" w:rsidR="001511D9" w:rsidP="001511D9" w:rsidRDefault="001511D9" w14:paraId="41C8F396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="00A71AEA" w:rsidTr="00A71AEA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D67467" w:rsidRDefault="00A71AEA" w14:paraId="1A14184F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7D4773" w:rsidRDefault="00A71AEA" w14:paraId="205A1F16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="00A71AEA" w:rsidTr="00A71AEA" w14:paraId="475670F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D67467" w:rsidRDefault="00A71AEA" w14:paraId="5BB5133E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7D4773" w:rsidRDefault="00A71AEA" w14:paraId="6DD1B76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</w:tr>
    </w:tbl>
    <w:p xmlns:wp14="http://schemas.microsoft.com/office/word/2010/wordml" w:rsidR="001511D9" w:rsidP="001511D9" w:rsidRDefault="001511D9" w14:paraId="72A3D3EC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="00142D17" w:rsidTr="001E1B38" w14:paraId="0E118FC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AC5C34" w:rsidRDefault="00142D17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7D4773" w:rsidRDefault="00142D17" w14:paraId="23D11BFB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="00142D17" w:rsidTr="001E1B38" w14:paraId="63C690E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1E4083" w:rsidRDefault="00142D17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7D4773" w:rsidRDefault="00142D17" w14:paraId="6A94FC12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Zajęcia w pomieszczeniu dydaktycznym UJK</w:t>
            </w:r>
          </w:p>
        </w:tc>
      </w:tr>
      <w:tr xmlns:wp14="http://schemas.microsoft.com/office/word/2010/wordml" w:rsidR="00142D17" w:rsidTr="001E1B38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1E4083" w:rsidRDefault="00142D17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7D4773" w:rsidRDefault="00142D17" w14:paraId="6BB0E224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="00142D17" w:rsidTr="001E1B38" w14:paraId="0E2A69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1E4083" w:rsidRDefault="00142D17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7D4773" w:rsidRDefault="00142D17" w14:paraId="45EC16F2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:rsidR="00142D17" w:rsidP="007D4773" w:rsidRDefault="00142D17" w14:paraId="6383418C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problemowe: dyskusja – burza mózgu </w:t>
            </w:r>
          </w:p>
          <w:p w:rsidR="00142D17" w:rsidP="007D4773" w:rsidRDefault="00142D17" w14:paraId="6F0C0FF7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:rsidR="00142D17" w:rsidP="007D4773" w:rsidRDefault="00142D17" w14:paraId="58FC3909" wp14:textId="77777777">
            <w:pPr>
              <w:pStyle w:val="NormalnyWeb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Metody praktyczne: ćwiczenia przedmiotowe</w:t>
            </w:r>
          </w:p>
          <w:p w:rsidR="00142D17" w:rsidP="007D4773" w:rsidRDefault="00142D17" w14:paraId="449D6021" wp14:textId="77777777">
            <w:pPr>
              <w:pStyle w:val="Normalny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Metody aktywizujące: metoda projektu</w:t>
            </w:r>
          </w:p>
        </w:tc>
      </w:tr>
      <w:tr xmlns:wp14="http://schemas.microsoft.com/office/word/2010/wordml" w:rsidR="00142D17" w:rsidTr="00B54E9B" w14:paraId="611AF11C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B54E9B" w:rsidRDefault="00142D17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861A15" w:rsidRDefault="00142D17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9D2AE9" w:rsidP="009D2AE9" w:rsidRDefault="009D2AE9" w14:paraId="34DEF0F8" wp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Czub M., Wiliński M., Diagnoza gotowości szkolnej w ujęciu interakcyjnym, Instytut Badań Edukacyjnych, Warszawa 2014.</w:t>
            </w:r>
          </w:p>
          <w:p w:rsidR="00142D17" w:rsidP="00BE32B3" w:rsidRDefault="00142D17" w14:paraId="7C6CB0BB" wp14:textId="77777777">
            <w:pPr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Gruszczyk-Kolczyńska E., Zielińska E.,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Nauczycielska diagnoza gotowości do podjęcia nauki szkolnej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Kraków 2011</w:t>
            </w:r>
            <w:r w:rsidR="005D26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7EFA" w:rsidP="00BE32B3" w:rsidRDefault="00237EFA" w14:paraId="345CDDD4" wp14:textId="77777777">
            <w:pPr>
              <w:pStyle w:val="Akapitzlis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Kopik A., </w:t>
            </w:r>
            <w:r>
              <w:rPr>
                <w:i/>
                <w:iCs/>
                <w:color w:val="000000"/>
                <w:sz w:val="20"/>
                <w:szCs w:val="20"/>
              </w:rPr>
              <w:t>Konteksty gotowości szkolnej. Pół wieku,</w:t>
            </w:r>
            <w:r>
              <w:rPr>
                <w:color w:val="000000"/>
                <w:sz w:val="20"/>
                <w:szCs w:val="20"/>
              </w:rPr>
              <w:t xml:space="preserve"> Warszawa 2019</w:t>
            </w:r>
            <w:r w:rsidR="0012766D">
              <w:rPr>
                <w:color w:val="000000"/>
                <w:sz w:val="20"/>
                <w:szCs w:val="20"/>
              </w:rPr>
              <w:t>.</w:t>
            </w:r>
          </w:p>
          <w:p w:rsidR="00142D17" w:rsidP="00BE32B3" w:rsidRDefault="00142D17" w14:paraId="5E3C6FDF" wp14:textId="77777777">
            <w:pPr>
              <w:pStyle w:val="Akapitzlis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Waloszek D., </w:t>
            </w:r>
            <w:r>
              <w:rPr>
                <w:i/>
                <w:color w:val="000000"/>
                <w:sz w:val="20"/>
                <w:szCs w:val="20"/>
              </w:rPr>
              <w:t xml:space="preserve">Między przedszkolem a szkołą. Rozważania o gotowości dzieci do podjęcia nauki w szkole, </w:t>
            </w:r>
            <w:r>
              <w:rPr>
                <w:color w:val="000000"/>
                <w:sz w:val="20"/>
                <w:szCs w:val="20"/>
              </w:rPr>
              <w:t xml:space="preserve">Warszawa 2014 </w:t>
            </w:r>
          </w:p>
          <w:p w:rsidR="00142D17" w:rsidP="00BE32B3" w:rsidRDefault="00142D17" w14:paraId="68E5B2CF" wp14:textId="77777777">
            <w:pPr>
              <w:pStyle w:val="Akapitzlis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Wilgocka- Okoń B., </w:t>
            </w:r>
            <w:r>
              <w:rPr>
                <w:i/>
                <w:color w:val="000000"/>
                <w:sz w:val="20"/>
                <w:szCs w:val="20"/>
              </w:rPr>
              <w:t>Gotowość szkolna dzieci sześcioletnich</w:t>
            </w:r>
            <w:r>
              <w:rPr>
                <w:color w:val="000000"/>
                <w:sz w:val="20"/>
                <w:szCs w:val="20"/>
              </w:rPr>
              <w:t>, Warszawa 2006</w:t>
            </w:r>
            <w:r w:rsidR="0012766D">
              <w:rPr>
                <w:color w:val="000000"/>
                <w:sz w:val="20"/>
                <w:szCs w:val="20"/>
              </w:rPr>
              <w:t>.</w:t>
            </w:r>
          </w:p>
        </w:tc>
      </w:tr>
      <w:tr xmlns:wp14="http://schemas.microsoft.com/office/word/2010/wordml" w:rsidR="00142D17" w:rsidTr="001E1B38" w14:paraId="69B9163C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42D17" w:rsidRDefault="00142D17" w14:paraId="0D0B940D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RDefault="00142D17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42D17" w:rsidP="00BE32B3" w:rsidRDefault="00142D17" w14:paraId="745B49F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Chojak M.,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Rodzice a gotowość szkolna dzieci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Lublin 2017</w:t>
            </w:r>
            <w:r w:rsidR="004272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7253" w:rsidP="00427253" w:rsidRDefault="0012766D" w14:paraId="0BC493E7" wp14:textId="77777777">
            <w:pPr>
              <w:pStyle w:val="Akapitzlis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Janiszewska B., </w:t>
            </w:r>
            <w:r>
              <w:rPr>
                <w:i/>
                <w:iCs/>
                <w:color w:val="000000"/>
                <w:sz w:val="20"/>
                <w:szCs w:val="20"/>
              </w:rPr>
              <w:t>Diagnoza dojrzałości szkolnej</w:t>
            </w:r>
            <w:r>
              <w:rPr>
                <w:color w:val="000000"/>
                <w:sz w:val="20"/>
                <w:szCs w:val="20"/>
              </w:rPr>
              <w:t xml:space="preserve">, Warszawa 2012. </w:t>
            </w:r>
          </w:p>
          <w:p w:rsidR="00427253" w:rsidP="00427253" w:rsidRDefault="00427253" w14:paraId="40CF9E38" wp14:textId="77777777">
            <w:pPr>
              <w:pStyle w:val="Akapitzlis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Jarosz E., Wysocka E., </w:t>
            </w:r>
            <w:r>
              <w:rPr>
                <w:i/>
                <w:color w:val="000000"/>
                <w:sz w:val="20"/>
                <w:szCs w:val="20"/>
              </w:rPr>
              <w:t>Diagnoza psychopedagogiczna. Podstawowe problemy i rozwiązania</w:t>
            </w:r>
            <w:r>
              <w:rPr>
                <w:color w:val="000000"/>
                <w:sz w:val="20"/>
                <w:szCs w:val="20"/>
              </w:rPr>
              <w:t>, Warszawa 2006.</w:t>
            </w:r>
          </w:p>
          <w:p w:rsidR="00142D17" w:rsidP="00BE32B3" w:rsidRDefault="00142D17" w14:paraId="0235904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Karwowska-Struczyk M., Hajnicz W.,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Obserwacja w poznawaniu dziecka,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Warszawa </w:t>
            </w:r>
            <w:r w:rsidR="008C6F51">
              <w:rPr>
                <w:rFonts w:ascii="Times New Roman" w:hAnsi="Times New Roman" w:cs="Times New Roman"/>
                <w:sz w:val="20"/>
                <w:szCs w:val="20"/>
              </w:rPr>
              <w:t>2002.</w:t>
            </w:r>
          </w:p>
          <w:p w:rsidR="00427253" w:rsidP="00427253" w:rsidRDefault="00427253" w14:paraId="1E65B210" wp14:textId="77777777">
            <w:pPr>
              <w:pStyle w:val="Akapitzlis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Kwaśniewska M., Lendzion J. (red.), </w:t>
            </w:r>
            <w:r>
              <w:rPr>
                <w:i/>
                <w:iCs/>
                <w:color w:val="000000"/>
                <w:sz w:val="20"/>
                <w:szCs w:val="20"/>
              </w:rPr>
              <w:t>Sześciolatek w roli ucznia,</w:t>
            </w:r>
            <w:r>
              <w:rPr>
                <w:color w:val="000000"/>
                <w:sz w:val="20"/>
                <w:szCs w:val="20"/>
              </w:rPr>
              <w:t xml:space="preserve"> Kielce 2016.</w:t>
            </w:r>
          </w:p>
          <w:p w:rsidR="00427253" w:rsidP="00427253" w:rsidRDefault="00142D17" w14:paraId="455DAEA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Kopik A.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Sześciolatki w Polsce. Diagnoza badanych sfer rozwoju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27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725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Raport 2006</w:t>
            </w:r>
            <w:r w:rsidR="004272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Kielce 2007 </w:t>
            </w:r>
          </w:p>
          <w:p w:rsidR="00142D17" w:rsidP="00BE32B3" w:rsidRDefault="00427253" w14:paraId="0992CE68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Kusiak K., Bednarczuk B.,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Oblicza gotowości szkolnej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Gdańsk 2015</w:t>
            </w:r>
          </w:p>
          <w:p w:rsidR="00142D17" w:rsidP="00BE32B3" w:rsidRDefault="00142D17" w14:paraId="735CA949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Kwaśniewska M., Żaba-Żabińska W.,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 trosce o udany start. Ocena gotowości dziecka do rozpoczęcia nauki szkolnej. Poradnik dla nauczycieli i rodziców,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Kielce 2008</w:t>
            </w:r>
          </w:p>
          <w:p w:rsidR="00427253" w:rsidP="00BE32B3" w:rsidRDefault="00427253" w14:paraId="4B35E13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Michalak R., Misiorna E.,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Konteksty gotowości szkolnej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Warszawa 2006. </w:t>
            </w:r>
            <w:hyperlink w:history="1" r:id="rId8">
              <w:r>
                <w:rPr>
                  <w:rStyle w:val="Hipercze"/>
                  <w:rFonts w:ascii="Times New Roman" w:hAnsi="Times New Roman" w:cs="Times New Roman"/>
                  <w:color w:val="000000"/>
                  <w:sz w:val="20"/>
                  <w:szCs w:val="20"/>
                </w:rPr>
                <w:t>http://www.bc.ore.edu.pl/Content/173/Zeszyt+1.+Konteksty+gotowo%C5%9Bci+szkolnej.pdf</w:t>
              </w:r>
            </w:hyperlink>
          </w:p>
          <w:p w:rsidR="00142D17" w:rsidP="00BE32B3" w:rsidRDefault="00142D17" w14:paraId="7EE433E4" wp14:textId="7777777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Podstawa programowa wychowania przedszkolnego (aktualna) i wybrane programy wychowania prze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szkolnego</w:t>
            </w:r>
          </w:p>
          <w:p w:rsidR="0012766D" w:rsidP="00BE32B3" w:rsidRDefault="0012766D" w14:paraId="6A0A89E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Przykładowe narzędzia do badania gotowości szkolnej - wybór</w:t>
            </w:r>
          </w:p>
        </w:tc>
      </w:tr>
    </w:tbl>
    <w:p xmlns:wp14="http://schemas.microsoft.com/office/word/2010/wordml" w:rsidR="001511D9" w:rsidP="001511D9" w:rsidRDefault="001511D9" w14:paraId="0E27B00A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CELE, TREŚCI I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="0066006C" w:rsidTr="00427253" w14:paraId="519590EE" wp14:textId="77777777">
        <w:trPr>
          <w:trHeight w:val="416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 uwzględnieniem formy zajęć)</w:t>
            </w:r>
          </w:p>
          <w:p w:rsidR="00142D17" w:rsidP="00142D17" w:rsidRDefault="00142D17" w14:paraId="2F0DDD35" wp14:textId="77777777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</w:t>
            </w:r>
          </w:p>
          <w:p w:rsidR="00E108EE" w:rsidP="00142D17" w:rsidRDefault="00E108EE" w14:paraId="3EA672A5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142D17" w:rsidP="00142D17" w:rsidRDefault="00142D17" w14:paraId="47EF4309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C1.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zapoznanie studentów z zasadami diagnozy psychopedagogicznej gotowości szkolnej dzieci</w:t>
            </w:r>
            <w:r w:rsidR="00BE32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142D17" w:rsidP="00142D17" w:rsidRDefault="00142D17" w14:paraId="1D07EAAF" wp14:textId="777777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C2.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przygotowanie studentów do tworzenia warsztatu pracy nauczyciela mającego na celu diagnozę dzieci w wieku przedszkolnym</w:t>
            </w:r>
            <w:r w:rsidR="00BE32B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66006C" w:rsidP="00142D17" w:rsidRDefault="00142D17" w14:paraId="4D71F4E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uwrażliwienie studentów na złożoność procesu diagnozowania dzieci w wieku przedszkolnym i konieczności etycznego postępowania w tym działaniu</w:t>
            </w:r>
            <w:r w:rsidR="00BE32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xmlns:wp14="http://schemas.microsoft.com/office/word/2010/wordml" w:rsidR="0066006C" w:rsidTr="008115D0" w14:paraId="7E214F13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Treści programowe</w:t>
            </w:r>
            <w:r w:rsidR="007034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34A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(z uwzględnieniem formy zajęć)</w:t>
            </w:r>
          </w:p>
          <w:p w:rsidR="00581FE1" w:rsidP="00BE32B3" w:rsidRDefault="00581FE1" w14:paraId="60061E4C" wp14:textId="77777777">
            <w:pPr>
              <w:jc w:val="both"/>
              <w:rPr>
                <w:rStyle w:val="Bodytext393"/>
                <w:sz w:val="20"/>
                <w:szCs w:val="20"/>
                <w:u w:val="none"/>
              </w:rPr>
            </w:pPr>
          </w:p>
          <w:p w:rsidR="00E108EE" w:rsidP="00E108EE" w:rsidRDefault="00E108EE" w14:paraId="635FBADF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Ćwiczenia:</w:t>
            </w:r>
          </w:p>
          <w:p w:rsidR="00142D17" w:rsidP="00BE32B3" w:rsidRDefault="00142D17" w14:paraId="1E45C2E0" wp14:textId="77777777">
            <w:pPr>
              <w:jc w:val="both"/>
              <w:rPr>
                <w:rStyle w:val="Bodytext393"/>
                <w:sz w:val="20"/>
                <w:szCs w:val="20"/>
                <w:u w:val="none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>Zapoznanie z kartą przedmiotu i wymaganiami w związku z zaliczeniem przedmiotu. Określenie cech rozwojowych dzieci w wieku przedszkolnym.</w:t>
            </w:r>
          </w:p>
          <w:p w:rsidR="00142D17" w:rsidP="00BE32B3" w:rsidRDefault="00142D17" w14:paraId="597AE434" wp14:textId="77777777">
            <w:pPr>
              <w:jc w:val="both"/>
              <w:rPr>
                <w:rStyle w:val="Bodytext393"/>
                <w:sz w:val="20"/>
                <w:szCs w:val="20"/>
                <w:u w:val="none"/>
              </w:rPr>
            </w:pPr>
            <w:r>
              <w:rPr>
                <w:rStyle w:val="Bodytext393"/>
                <w:sz w:val="20"/>
                <w:szCs w:val="20"/>
                <w:u w:val="none"/>
              </w:rPr>
              <w:t>Dojrzałość/gotowość szkolna dziecka – ujęcia definicyjne, rozwój badań, uwarunkowania, sfery dojrzałości i jej główne cechy. Sylwetka dziecka kończącego edukację przedszkolną w świetle wymagań programowych. Praca przedszkola na rzecz osiągnięcia przez dzieci gotowości szkolnej.</w:t>
            </w:r>
          </w:p>
          <w:p w:rsidR="00142D17" w:rsidP="00BE32B3" w:rsidRDefault="00142D17" w14:paraId="5ADCA06E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Problemy metodologiczne diagnozy psychopedagogicznej dzieci. Zasady pracy diagnosty. Uwarunkowania procesu diagnostycznego. Podstawowe techniki diagnostyczne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Trafność i rzetelność narzędzi diagnostycznych. Diagnoza psychopedagogiczna gotowości szkolnej dziecka – analiza przykładowych narzędzi diagnostycznych.</w:t>
            </w:r>
          </w:p>
          <w:p w:rsidR="00142D17" w:rsidP="00BE32B3" w:rsidRDefault="00142D17" w14:paraId="72B82884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Obserwacja w poznawaniu dziecka. Arkusze obserwacyjne do badania gotowości szkolnej dziecka – modelowa budowa i próby samodzielnego opracowania. Interpretacja wyników obserwacji.</w:t>
            </w:r>
          </w:p>
          <w:p w:rsidR="00142D17" w:rsidP="00BE32B3" w:rsidRDefault="00142D17" w14:paraId="73A370E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Testowanie w poznawaniu dzieci. Testy służące określeniu poziomu gotowości szkolnej dziecka – ujęcie modelowe i próby samodzielnego opracowania zadań testowych dla poszczególnych sfer rozwojowych. Interpretacja wyników testowania.</w:t>
            </w:r>
          </w:p>
          <w:p w:rsidR="0066006C" w:rsidP="00BE32B3" w:rsidRDefault="00142D17" w14:paraId="0CFE5430" wp14:textId="7777777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Prezentacja, omówienie i ocena skonstruowanych narzędzi diagnostycznych.</w:t>
            </w:r>
          </w:p>
        </w:tc>
      </w:tr>
    </w:tbl>
    <w:p xmlns:wp14="http://schemas.microsoft.com/office/word/2010/wordml" w:rsidR="00CE7F64" w:rsidP="00CE7F64" w:rsidRDefault="00CE7F64" w14:paraId="44EAFD9C" wp14:textId="77777777">
      <w:pPr>
        <w:rPr>
          <w:rFonts w:ascii="Times New Roman" w:hAnsi="Times New Roman" w:cs="Times New Roman"/>
          <w:b/>
          <w:sz w:val="20"/>
          <w:szCs w:val="20"/>
        </w:rPr>
      </w:pPr>
    </w:p>
    <w:p xmlns:wp14="http://schemas.microsoft.com/office/word/2010/wordml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Przedmiotowe efekty </w:t>
      </w:r>
      <w:r w:rsidR="00AC5C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6562"/>
        <w:gridCol w:w="1629"/>
      </w:tblGrid>
      <w:tr xmlns:wp14="http://schemas.microsoft.com/office/word/2010/wordml" w:rsidR="00B6239F" w:rsidTr="455D2BBF" w14:paraId="64AA9758" wp14:textId="77777777">
        <w:trPr>
          <w:cantSplit/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="00B6239F" w:rsidP="6ED4017E" w:rsidRDefault="00CE7F64" w14:paraId="5A822C8D" wp14:textId="158F5CAA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</w:pPr>
            <w:r w:rsidRPr="6ED4017E" w:rsidR="00CE7F64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Efekt</w:t>
            </w:r>
            <w:r w:rsidRPr="6ED4017E" w:rsidR="22B2E11B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y/ Efekty szczegółowe</w:t>
            </w:r>
            <w:r w:rsidRPr="6ED4017E" w:rsidR="00DE3813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Odniesienie</w:t>
            </w:r>
            <w:r w:rsidR="00D6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="00D67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kierunkowych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="00CE7F64" w:rsidTr="455D2BBF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="00142D17" w:rsidTr="455D2BBF" w14:paraId="4A98BEA3" wp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2D17" w:rsidP="007D4773" w:rsidRDefault="00142D17" w14:paraId="262F74A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0038A1" w:rsidP="007D4773" w:rsidRDefault="000038A1" w14:paraId="5E8A2D3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C.W1</w:t>
            </w:r>
          </w:p>
          <w:p w:rsidR="00A60F91" w:rsidP="007D4773" w:rsidRDefault="00A60F91" w14:paraId="3570531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C.W</w:t>
            </w:r>
            <w:r w:rsidR="000038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8A1" w:rsidP="000038A1" w:rsidRDefault="001A4F69" w14:paraId="5BC11747" wp14:textId="383DD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ED4017E" w:rsidR="001A4F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Student posiada wiedz</w:t>
            </w:r>
            <w:r w:rsidRPr="6ED4017E" w:rsidR="5A856E9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ę</w:t>
            </w:r>
            <w:r w:rsidRPr="6ED4017E" w:rsidR="001A4F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na </w:t>
            </w:r>
            <w:r w:rsidRPr="6ED4017E" w:rsidR="000038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temat z</w:t>
            </w:r>
            <w:r w:rsidRPr="6ED4017E" w:rsidR="00A60F91">
              <w:rPr>
                <w:rFonts w:ascii="Times New Roman" w:hAnsi="Times New Roman" w:cs="Times New Roman"/>
                <w:sz w:val="20"/>
                <w:szCs w:val="20"/>
              </w:rPr>
              <w:t>różnicowani</w:t>
            </w:r>
            <w:r w:rsidRPr="6ED4017E" w:rsidR="000038A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6ED4017E" w:rsidR="00A60F91">
              <w:rPr>
                <w:rFonts w:ascii="Times New Roman" w:hAnsi="Times New Roman" w:cs="Times New Roman"/>
                <w:sz w:val="20"/>
                <w:szCs w:val="20"/>
              </w:rPr>
              <w:t>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</w:t>
            </w:r>
            <w:r w:rsidRPr="6ED4017E" w:rsidR="000038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A4F69" w:rsidP="007D4773" w:rsidRDefault="000038A1" w14:paraId="2466D38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Zna 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opiekunów. </w:t>
            </w:r>
            <w:r w:rsidR="001A4F6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Opisuje harmonijny i dysharmonijny rozwój, różnicuje wymienia w nim normę i patologię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2D17" w:rsidP="007D4773" w:rsidRDefault="00142D17" w14:paraId="04231DD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PPW_W13</w:t>
            </w:r>
          </w:p>
        </w:tc>
      </w:tr>
      <w:tr xmlns:wp14="http://schemas.microsoft.com/office/word/2010/wordml" w:rsidR="00142D17" w:rsidTr="455D2BBF" w14:paraId="29084F6A" wp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2D17" w:rsidP="007D4773" w:rsidRDefault="00142D17" w14:paraId="5CBA545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1A4F69" w:rsidP="007D4773" w:rsidRDefault="001A4F69" w14:paraId="14F951F9" wp14:textId="77777777">
            <w:pPr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C.W</w:t>
            </w:r>
            <w:r w:rsidR="000038A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3</w:t>
            </w:r>
          </w:p>
          <w:p w:rsidR="000038A1" w:rsidP="007D4773" w:rsidRDefault="000038A1" w14:paraId="79CEA1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C.W5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8A1" w:rsidP="007D4773" w:rsidRDefault="000038A1" w14:paraId="0BFFA86D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zna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wychowania.</w:t>
            </w:r>
          </w:p>
          <w:p w:rsidR="000038A1" w:rsidP="007D4773" w:rsidRDefault="000038A1" w14:paraId="7338106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zna podstawy teoretyczne oceniania i ewaluacji procesu edukacyjnego w przedszkolu i klasach I–III szkoły podstawowej, w tym cele, funkcje, rodzaje oceniania, proces i konsekwencje oceniania, uczestnictwo ucznia w kontroli i ocenie jego wiedzy i umiejętności, prawa i błędy w procesie oceniania; system zapewnienia jakości pracy przedszkola i szkoły, proces ewaluacji w przedszkolu i szkole oraz metody i techniki ewaluacyjne.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Przedstawia etapy diagnozy i analizuje poziom przygotowania dzieci do podjęcia roli ucznia z uwzględnieniem grupy uczniów z zaburzeniami w rozwoju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2D17" w:rsidP="007D4773" w:rsidRDefault="00142D17" w14:paraId="16BCE76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PPW_W14</w:t>
            </w:r>
          </w:p>
        </w:tc>
      </w:tr>
      <w:tr xmlns:wp14="http://schemas.microsoft.com/office/word/2010/wordml" w:rsidR="00142D17" w:rsidTr="455D2BBF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2D17" w:rsidP="00CE7F64" w:rsidRDefault="00142D17" w14:paraId="29DC2692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="00142D17" w:rsidTr="455D2BBF" w14:paraId="68C218C6" wp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2D17" w:rsidP="007D4773" w:rsidRDefault="00142D17" w14:paraId="01A6CC3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395F34" w:rsidP="00401D00" w:rsidRDefault="000038A1" w14:paraId="22F78943" wp14:textId="77777777">
            <w:pPr>
              <w:widowControl w:val="0"/>
              <w:ind w:left="4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C.U4</w:t>
            </w:r>
          </w:p>
          <w:p w:rsidR="00395F34" w:rsidP="00401D00" w:rsidRDefault="00395F34" w14:paraId="5C4281DE" wp14:textId="77777777">
            <w:pPr>
              <w:widowControl w:val="0"/>
              <w:ind w:left="4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C.U6</w:t>
            </w:r>
          </w:p>
          <w:p w:rsidR="00395F34" w:rsidP="00395F34" w:rsidRDefault="00395F34" w14:paraId="3C568FD7" wp14:textId="77777777">
            <w:pPr>
              <w:widowControl w:val="0"/>
              <w:ind w:left="4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C.U8</w:t>
            </w:r>
          </w:p>
          <w:p w:rsidR="00395F34" w:rsidP="00395F34" w:rsidRDefault="00395F34" w14:paraId="4B94D5A5" wp14:textId="77777777">
            <w:pPr>
              <w:widowControl w:val="0"/>
              <w:ind w:left="4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A1" w:rsidP="00401D00" w:rsidRDefault="000038A1" w14:paraId="3DEEC669" wp14:textId="77777777">
            <w:pPr>
              <w:widowControl w:val="0"/>
              <w:ind w:right="-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038A1" w:rsidP="007D4773" w:rsidRDefault="000038A1" w14:paraId="68B5C03E" wp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potrafi planować, realizować i oceniać efekty spersonalizowanych strategii i programów kształcenia i wychowania z nastawieniem na integralny rozwój dziecka</w:t>
            </w:r>
            <w:r w:rsidR="0040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5F34" w:rsidP="007D4773" w:rsidRDefault="00395F34" w14:paraId="7EB06D6F" wp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potrafi identyfikować i rozbudzać zainteresowania i zdolności dzieci lub uczniów, dostosowywać sposoby i treści nauczania do ich zasobów, rozwijać u dzieci lub uczniów ciekawość, aktywność i samodzielność poznawczą oraz kreatywne podejście do zadań</w:t>
            </w:r>
          </w:p>
          <w:p w:rsidR="001A4F69" w:rsidP="007D4773" w:rsidRDefault="00395F34" w14:paraId="0C2FD126" wp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umie wykorzystywać proces oceniania pracy uczniów do stymulowania ich samooceny, umiejętności samoregulacji i pracy nad własnym rozwojem</w:t>
            </w:r>
            <w:r w:rsidR="00401D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Potrafi p</w:t>
            </w:r>
            <w:r w:rsidR="000038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rzeprowad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zić </w:t>
            </w:r>
            <w:r w:rsidR="000038A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proces projektowania narzędzi służących diagnozie gotowości szkolnej dzieck</w:t>
            </w:r>
            <w:r w:rsidR="00401D0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42D17" w:rsidP="00A71AEA" w:rsidRDefault="00A71AEA" w14:paraId="1473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PPW_U04</w:t>
            </w:r>
          </w:p>
        </w:tc>
      </w:tr>
      <w:tr xmlns:wp14="http://schemas.microsoft.com/office/word/2010/wordml" w:rsidR="00395F34" w:rsidTr="455D2BBF" w14:paraId="2D4D8175" wp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5F34" w:rsidP="00395F34" w:rsidRDefault="00395F34" w14:paraId="301A72B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395F34" w:rsidP="00401D00" w:rsidRDefault="00395F34" w14:paraId="502FA4C8" wp14:textId="77777777">
            <w:pPr>
              <w:widowControl w:val="0"/>
              <w:ind w:left="4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C.U1</w:t>
            </w:r>
          </w:p>
          <w:p w:rsidR="00395F34" w:rsidP="00395F34" w:rsidRDefault="00395F34" w14:paraId="59F6B1AA" wp14:textId="77777777">
            <w:pPr>
              <w:widowControl w:val="0"/>
              <w:ind w:left="4" w:right="-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C.U5</w:t>
            </w:r>
          </w:p>
          <w:p w:rsidR="00395F34" w:rsidP="00395F34" w:rsidRDefault="00395F34" w14:paraId="3656B9A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5F34" w:rsidP="00395F34" w:rsidRDefault="00395F34" w14:paraId="15CA6EEE" wp14:textId="7777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potrafi kształtować bezpieczne i przyjazne edukacyjne środowisko rozwoju dzieci lub uczniów, z uwzględnieniem indywidualnych potrzeb, możliwości i uzdolnień dziecka lub ucznia, z nastawieniem na osobowy i podmiotowy rozwój</w:t>
            </w:r>
          </w:p>
          <w:p w:rsidR="00395F34" w:rsidP="00395F34" w:rsidRDefault="00395F34" w14:paraId="2B4B784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potrafi organizować zabawy i zajęcia stymulujące aktywność poznawczą dzieci lub uczniów, wspólnotowe i kooperacyjne uczenie się, angażujące emocjonalnie, motywacyjnie i poznawczo wszystkie dzieci lub uczniów, wspierać ich adaptację do uczenia się we wspólnocie oraz identyfikować spontaniczne zachowania dzieci lub uczniów jako sytuacje wychowawczo-dydaktyczne i wykorzystywać je w procesie edukacji. Projektuje pracę z dziećmi zgodnie z ich możliwościami i potrzebami, indywidualizując zadania w zakresie dydaktyki i wychowania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5F34" w:rsidP="00395F34" w:rsidRDefault="00395F34" w14:paraId="7BE9984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PPW_U02</w:t>
            </w:r>
          </w:p>
        </w:tc>
      </w:tr>
      <w:tr xmlns:wp14="http://schemas.microsoft.com/office/word/2010/wordml" w:rsidR="00395F34" w:rsidTr="455D2BBF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5F34" w:rsidP="00395F34" w:rsidRDefault="00395F34" w14:paraId="3DF935FD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="00395F34" w:rsidTr="455D2BBF" w14:paraId="2E082851" wp14:textId="77777777">
        <w:trPr>
          <w:trHeight w:val="284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5F34" w:rsidP="00395F34" w:rsidRDefault="00395F34" w14:paraId="68A41F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395F34" w:rsidP="00395F34" w:rsidRDefault="00395F34" w14:paraId="05D4CC6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C.K1</w:t>
            </w:r>
          </w:p>
          <w:p w:rsidR="00395F34" w:rsidP="00395F34" w:rsidRDefault="00395F34" w14:paraId="5710832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C.K4</w:t>
            </w:r>
          </w:p>
        </w:tc>
        <w:tc>
          <w:tcPr>
            <w:tcW w:w="6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5F34" w:rsidP="00395F34" w:rsidRDefault="00395F34" w14:paraId="3A1B561F" wp14:textId="7777777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 jest gotów do kierowania się wrażliwością etyczną, empatią, otwartością, krytycyzmem oraz do przyjęcia odpowiedzialności za integralny rozwój dzieci lub uczniów i podejmowane działania pedagogiczne, a także do efektywnej współpracy z nauczycielami, specjalistami, w tym psychologiem, logopedą, pedagogiem, lekarzem i rodzicami dzieci lub uczniów oraz innymi członkami społeczności przedszkolnej, szkolnej i lokalnej na rzecz dzieci lub uczniów i zapewnienia jakości pracy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przedszkola lub szkoły </w:t>
            </w:r>
            <w:r>
              <w:rPr>
                <w:rFonts w:ascii="Times New Roman" w:hAnsi="Times New Roman" w:eastAsia="TimesNewRoman" w:cs="Times New Roman"/>
                <w:sz w:val="20"/>
                <w:szCs w:val="20"/>
                <w:lang w:eastAsia="en-US"/>
              </w:rPr>
              <w:t xml:space="preserve">w kwestii diagnozowania i oceniania pracy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dzieci/uczniów z uwzględnieniem ich indywidualnych możliwości.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95F34" w:rsidP="00395F34" w:rsidRDefault="00395F34" w14:paraId="154B86C0" wp14:textId="7777777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PPW_K01</w:t>
            </w:r>
          </w:p>
        </w:tc>
      </w:tr>
    </w:tbl>
    <w:p xmlns:wp14="http://schemas.microsoft.com/office/word/2010/wordml" w:rsidR="00E44096" w:rsidRDefault="00E44096" w14:paraId="45FB0818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="00A40BE3" w:rsidTr="00AC5C34" w14:paraId="1836F26D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A40BE3" w:rsidP="0041771F" w:rsidRDefault="00A40BE3" w14:paraId="049F31C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A40BE3" w:rsidRDefault="00A40BE3" w14:paraId="53128261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41771F" w:rsidRDefault="00A40BE3" w14:paraId="62486C05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41771F" w:rsidRDefault="00A40BE3" w14:paraId="39C49E6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spacing w:val="-2"/>
                <w:sz w:val="19"/>
                <w:szCs w:val="19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41771F" w:rsidRDefault="00A40BE3" w14:paraId="4101652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A40BE3" w:rsidP="007B75E6" w:rsidRDefault="00A40BE3" w14:paraId="7EFB24D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Praca </w:t>
            </w:r>
            <w:r w:rsidR="007B75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A40BE3" w:rsidP="0041771F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="007B75E6" w:rsidTr="00AC5C34" w14:paraId="2337B038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7B75E6" w:rsidP="0041771F" w:rsidRDefault="007B75E6" w14:paraId="1299C43A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4DDBEF0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3CF2D8B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="007B75E6" w:rsidTr="00AC5C34" w14:paraId="54A1E53C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B75E6" w:rsidP="0041771F" w:rsidRDefault="007B75E6" w14:paraId="1FC39945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0562CB0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34CE0A41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2EBF3C5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6D98A12B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xmlns:wp14="http://schemas.microsoft.com/office/word/2010/wordml" w:rsidR="00A71AEA" w:rsidTr="00AC5C34" w14:paraId="34C4B9E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A71AEA" w14:paraId="6B7A0DE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A71AEA" w:rsidTr="00AC5C34" w14:paraId="657D8B78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43317D" w14:paraId="4ED93E4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A71AEA" w:rsidTr="00AC5C34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A71AEA" w14:paraId="01083B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A71AEA" w:rsidTr="00AC5C34" w14:paraId="73323086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43317D" w14:paraId="34C32E1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220BBB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13CB595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6D9C8D3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675E05E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2FC17F8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0A4F722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xmlns:wp14="http://schemas.microsoft.com/office/word/2010/wordml" w:rsidR="00A71AEA" w:rsidTr="00AC5C34" w14:paraId="4F0F6D8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A71AEA" w14:paraId="088650F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AE48A43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0F40DE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77A5229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007DCDA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450EA2D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3DD355C9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A81F0B1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717AAFB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6EE48E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2908EB2C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121FD38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FE2DD9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27357532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07F023C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="00A71AEA" w:rsidP="007D4773" w:rsidRDefault="00A71AEA" w14:paraId="4BDB549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2916C19D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7486946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187F57B8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54738AF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A71AEA" w:rsidP="007D4773" w:rsidRDefault="00A71AEA" w14:paraId="46ABBD8F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xmlns:wp14="http://schemas.microsoft.com/office/word/2010/wordml" w:rsidR="008115D0" w:rsidP="008115D0" w:rsidRDefault="008115D0" w14:paraId="0A5BB3F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color w:val="000000"/>
          <w:sz w:val="20"/>
          <w:szCs w:val="20"/>
          <w:lang w:val="pl-PL"/>
        </w:rPr>
      </w:pPr>
      <w:r>
        <w:rPr>
          <w:b/>
          <w:i/>
          <w:color w:val="000000"/>
          <w:sz w:val="20"/>
          <w:szCs w:val="20"/>
          <w:lang w:val="pl-PL"/>
        </w:rPr>
        <w:t>*niepotrzebne usunąć</w:t>
      </w:r>
    </w:p>
    <w:p xmlns:wp14="http://schemas.microsoft.com/office/word/2010/wordml" w:rsidR="00A40BE3" w:rsidP="001511D9" w:rsidRDefault="00A40BE3" w14:paraId="06BBA33E" wp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="00742D43" w:rsidTr="00A71AEA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Kryteria oceny stopnia </w:t>
            </w:r>
            <w:r w:rsidR="00CB4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osiągnięcia efektów </w:t>
            </w:r>
            <w:r w:rsidR="00AC5C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="00A6090F" w:rsidTr="00A71AEA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090F" w:rsidP="001E4083" w:rsidRDefault="00A6090F" w14:paraId="3B1BCF86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="00A71AEA" w:rsidTr="00A71AEA" w14:paraId="3E786043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="00A71AEA" w:rsidP="008115D0" w:rsidRDefault="00A71AEA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8115D0" w:rsidRDefault="00A71AEA" w14:paraId="5FCD5EC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71AEA" w:rsidP="007D4773" w:rsidRDefault="00A71AEA" w14:paraId="1619698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50-6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niski poziom aktywności podczas ćwiczeń; wniósł niewielki wkład w pracę zespołu</w:t>
            </w:r>
          </w:p>
        </w:tc>
      </w:tr>
      <w:tr xmlns:wp14="http://schemas.microsoft.com/office/word/2010/wordml" w:rsidR="00A71AEA" w:rsidTr="00A71AEA" w14:paraId="0A39F01B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A71AEA" w:rsidP="008115D0" w:rsidRDefault="00A71AEA" w14:paraId="464FCBC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8115D0" w:rsidRDefault="00A71AEA" w14:paraId="14D92B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71AEA" w:rsidP="007D4773" w:rsidRDefault="00A71AEA" w14:paraId="5E5941B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61-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przeciętną aktywnością podczas ćwiczeń; brał udział w pracach zespołowych</w:t>
            </w:r>
          </w:p>
        </w:tc>
      </w:tr>
      <w:tr xmlns:wp14="http://schemas.microsoft.com/office/word/2010/wordml" w:rsidR="00A71AEA" w:rsidTr="00A71AEA" w14:paraId="57AE83AC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A71AEA" w:rsidP="008115D0" w:rsidRDefault="00A71AEA" w14:paraId="5C8C6B09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8115D0" w:rsidRDefault="00A71AEA" w14:paraId="2598DE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71AEA" w:rsidP="007D4773" w:rsidRDefault="00A71AEA" w14:paraId="6CF48CDB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7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aktywnością podczas ćwiczeń; brał udział w pracach zespołowych</w:t>
            </w:r>
          </w:p>
        </w:tc>
      </w:tr>
      <w:tr xmlns:wp14="http://schemas.microsoft.com/office/word/2010/wordml" w:rsidR="00A71AEA" w:rsidTr="00A71AEA" w14:paraId="0A184342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="00A71AEA" w:rsidP="008115D0" w:rsidRDefault="00A71AEA" w14:paraId="3382A36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8115D0" w:rsidRDefault="00A71AEA" w14:paraId="07C169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71AEA" w:rsidP="007D4773" w:rsidRDefault="00A71AEA" w14:paraId="4BB6029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8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 maksymalnego wyniku za projekt; wykazał się dużą aktywnością podczas ćwiczeń; wykazał się wyjątkowymi umiejętnościami pracy w zespole</w:t>
            </w:r>
          </w:p>
        </w:tc>
      </w:tr>
      <w:tr xmlns:wp14="http://schemas.microsoft.com/office/word/2010/wordml" w:rsidR="00A71AEA" w:rsidTr="00A71AEA" w14:paraId="28CFDBA7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8115D0" w:rsidRDefault="00A71AEA" w14:paraId="5C71F136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1AEA" w:rsidP="008115D0" w:rsidRDefault="00A71AEA" w14:paraId="78941E4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71AEA" w:rsidP="007D4773" w:rsidRDefault="00A71AEA" w14:paraId="5F72EE6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Uzyskał 9</w:t>
            </w:r>
            <w:r w:rsidR="00237E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-100% maksymalnego wyniku za projekt; wykazał się bardzo dużą aktywnością podczas ćwiczeń, pełnił rolę lidera w zespole</w:t>
            </w:r>
          </w:p>
        </w:tc>
      </w:tr>
    </w:tbl>
    <w:p xmlns:wp14="http://schemas.microsoft.com/office/word/2010/wordml" w:rsidR="001E4083" w:rsidP="001511D9" w:rsidRDefault="001E4083" w14:paraId="62199465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11D9" w:rsidRDefault="001511D9" w14:paraId="0DA123B1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="00A71AEA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A71AEA" w:rsidP="001E1B38" w:rsidRDefault="00A71AEA" w14:paraId="2AFD2D58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A71AEA" w:rsidP="007D4773" w:rsidRDefault="00A71AEA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A71AEA" w:rsidP="007D4773" w:rsidRDefault="00A71AEA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A71AEA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A71AEA" w14:paraId="6F4D7686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423D4B9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446DE71A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xmlns:wp14="http://schemas.microsoft.com/office/word/2010/wordml" w:rsidR="00A71AEA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1E1B38" w:rsidRDefault="00A71AEA" w14:paraId="782D90C4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7D4773" w:rsidRDefault="00A71AEA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7D4773" w:rsidRDefault="00A71AEA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</w:p>
        </w:tc>
      </w:tr>
      <w:tr xmlns:wp14="http://schemas.microsoft.com/office/word/2010/wordml" w:rsidR="00A71AEA" w:rsidTr="005625C2" w14:paraId="2BA370C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A71AEA" w14:paraId="39CBFB05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44240A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44B0A208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xmlns:wp14="http://schemas.microsoft.com/office/word/2010/wordml" w:rsidR="00A71AEA" w:rsidTr="005625C2" w14:paraId="6F42CC6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1E1B38" w:rsidRDefault="00A71AEA" w14:paraId="3739FAB8" wp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76DB90EB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71AEA" w:rsidP="007D4773" w:rsidRDefault="00A71AEA" w14:paraId="75697E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xmlns:wp14="http://schemas.microsoft.com/office/word/2010/wordml" w:rsidR="00A71AEA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1E1B38" w:rsidRDefault="00A71AEA" w14:paraId="4236813A" wp14:textId="777777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7D4773" w:rsidRDefault="00A71AEA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7D4773" w:rsidRDefault="00A71AEA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</w:p>
        </w:tc>
      </w:tr>
      <w:tr xmlns:wp14="http://schemas.microsoft.com/office/word/2010/wordml" w:rsidR="00A71AEA" w:rsidTr="005625C2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1E1B38" w:rsidRDefault="00A71AEA" w14:paraId="0A34ADE9" wp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7D4773" w:rsidRDefault="00A71AEA" w14:paraId="649841BE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="00A71AEA" w:rsidP="007D4773" w:rsidRDefault="00A71AEA" w14:paraId="56B20A0C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="00FA6C7B" w:rsidP="001D4D83" w:rsidRDefault="00FA6C7B" w14:paraId="4C4CEA3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</w:p>
    <w:p xmlns:wp14="http://schemas.microsoft.com/office/word/2010/wordml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Przyjmuję do realizacji</w:t>
      </w:r>
      <w:r>
        <w:rPr>
          <w:i/>
          <w:color w:val="000000"/>
          <w:sz w:val="20"/>
          <w:szCs w:val="20"/>
        </w:rPr>
        <w:t xml:space="preserve">    (data i</w:t>
      </w:r>
      <w:r w:rsidR="00EB24C1">
        <w:rPr>
          <w:i/>
          <w:color w:val="000000"/>
          <w:sz w:val="20"/>
          <w:szCs w:val="20"/>
          <w:lang w:val="pl-PL"/>
        </w:rPr>
        <w:t xml:space="preserve"> czytelne </w:t>
      </w:r>
      <w:r>
        <w:rPr>
          <w:i/>
          <w:color w:val="000000"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="005C5513" w:rsidP="001D4D83" w:rsidRDefault="005C5513" w14:paraId="50895670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xmlns:wp14="http://schemas.microsoft.com/office/word/2010/wordml" w:rsidR="005625C2" w:rsidP="001D4D83" w:rsidRDefault="005625C2" w14:paraId="38C1F85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</w:p>
    <w:p xmlns:wp14="http://schemas.microsoft.com/office/word/2010/wordml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color w:val="000000"/>
          <w:sz w:val="20"/>
          <w:szCs w:val="20"/>
          <w:lang w:val="pl-PL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82063F">
        <w:rPr>
          <w:i/>
          <w:color w:val="000000"/>
          <w:sz w:val="20"/>
          <w:szCs w:val="20"/>
          <w:lang w:val="pl-PL"/>
        </w:rPr>
        <w:t xml:space="preserve">             </w:t>
      </w:r>
      <w:r>
        <w:rPr>
          <w:i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A0FF4" w:rsidRDefault="000A0FF4" w14:paraId="0C8FE7CE" wp14:textId="77777777">
      <w:r>
        <w:separator/>
      </w:r>
    </w:p>
  </w:endnote>
  <w:endnote w:type="continuationSeparator" w:id="0">
    <w:p xmlns:wp14="http://schemas.microsoft.com/office/word/2010/wordml" w:rsidR="000A0FF4" w:rsidRDefault="000A0FF4" w14:paraId="41004F1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80"/>
    <w:family w:val="auto"/>
    <w:notTrueType/>
    <w:pitch w:val="default"/>
    <w:sig w:usb0="00000000" w:usb1="08070000" w:usb2="00000010" w:usb3="00000000" w:csb0="0002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A0FF4" w:rsidRDefault="000A0FF4" w14:paraId="67C0C651" wp14:textId="77777777"/>
  </w:footnote>
  <w:footnote w:type="continuationSeparator" w:id="0">
    <w:p xmlns:wp14="http://schemas.microsoft.com/office/word/2010/wordml" w:rsidR="000A0FF4" w:rsidRDefault="000A0FF4" w14:paraId="308D56CC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61948096">
    <w:abstractNumId w:val="30"/>
  </w:num>
  <w:num w:numId="2" w16cid:durableId="1219780757">
    <w:abstractNumId w:val="12"/>
  </w:num>
  <w:num w:numId="3" w16cid:durableId="2089039983">
    <w:abstractNumId w:val="27"/>
  </w:num>
  <w:num w:numId="4" w16cid:durableId="1183936371">
    <w:abstractNumId w:val="34"/>
  </w:num>
  <w:num w:numId="5" w16cid:durableId="1787121392">
    <w:abstractNumId w:val="22"/>
  </w:num>
  <w:num w:numId="6" w16cid:durableId="640421095">
    <w:abstractNumId w:val="13"/>
  </w:num>
  <w:num w:numId="7" w16cid:durableId="865411773">
    <w:abstractNumId w:val="31"/>
  </w:num>
  <w:num w:numId="8" w16cid:durableId="1915970555">
    <w:abstractNumId w:val="18"/>
  </w:num>
  <w:num w:numId="9" w16cid:durableId="1570576380">
    <w:abstractNumId w:val="26"/>
  </w:num>
  <w:num w:numId="10" w16cid:durableId="1191803521">
    <w:abstractNumId w:val="20"/>
  </w:num>
  <w:num w:numId="11" w16cid:durableId="101388371">
    <w:abstractNumId w:val="15"/>
  </w:num>
  <w:num w:numId="12" w16cid:durableId="46536491">
    <w:abstractNumId w:val="14"/>
  </w:num>
  <w:num w:numId="13" w16cid:durableId="2001230340">
    <w:abstractNumId w:val="24"/>
  </w:num>
  <w:num w:numId="14" w16cid:durableId="151144169">
    <w:abstractNumId w:val="8"/>
  </w:num>
  <w:num w:numId="15" w16cid:durableId="578948099">
    <w:abstractNumId w:val="3"/>
  </w:num>
  <w:num w:numId="16" w16cid:durableId="1965501159">
    <w:abstractNumId w:val="2"/>
  </w:num>
  <w:num w:numId="17" w16cid:durableId="283511456">
    <w:abstractNumId w:val="1"/>
  </w:num>
  <w:num w:numId="18" w16cid:durableId="1295480187">
    <w:abstractNumId w:val="0"/>
  </w:num>
  <w:num w:numId="19" w16cid:durableId="953828560">
    <w:abstractNumId w:val="9"/>
  </w:num>
  <w:num w:numId="20" w16cid:durableId="409817027">
    <w:abstractNumId w:val="7"/>
  </w:num>
  <w:num w:numId="21" w16cid:durableId="876157526">
    <w:abstractNumId w:val="6"/>
  </w:num>
  <w:num w:numId="22" w16cid:durableId="100955678">
    <w:abstractNumId w:val="5"/>
  </w:num>
  <w:num w:numId="23" w16cid:durableId="569854906">
    <w:abstractNumId w:val="4"/>
  </w:num>
  <w:num w:numId="24" w16cid:durableId="1626352360">
    <w:abstractNumId w:val="21"/>
  </w:num>
  <w:num w:numId="25" w16cid:durableId="1231963157">
    <w:abstractNumId w:val="38"/>
  </w:num>
  <w:num w:numId="26" w16cid:durableId="674384107">
    <w:abstractNumId w:val="11"/>
  </w:num>
  <w:num w:numId="27" w16cid:durableId="566260718">
    <w:abstractNumId w:val="33"/>
  </w:num>
  <w:num w:numId="28" w16cid:durableId="1285430438">
    <w:abstractNumId w:val="40"/>
  </w:num>
  <w:num w:numId="29" w16cid:durableId="1239945464">
    <w:abstractNumId w:val="10"/>
  </w:num>
  <w:num w:numId="30" w16cid:durableId="870190666">
    <w:abstractNumId w:val="37"/>
  </w:num>
  <w:num w:numId="31" w16cid:durableId="1369985132">
    <w:abstractNumId w:val="16"/>
  </w:num>
  <w:num w:numId="32" w16cid:durableId="336007900">
    <w:abstractNumId w:val="39"/>
  </w:num>
  <w:num w:numId="33" w16cid:durableId="1167210129">
    <w:abstractNumId w:val="17"/>
  </w:num>
  <w:num w:numId="34" w16cid:durableId="503518321">
    <w:abstractNumId w:val="23"/>
  </w:num>
  <w:num w:numId="35" w16cid:durableId="1719091672">
    <w:abstractNumId w:val="36"/>
  </w:num>
  <w:num w:numId="36" w16cid:durableId="805973297">
    <w:abstractNumId w:val="32"/>
  </w:num>
  <w:num w:numId="37" w16cid:durableId="1921136426">
    <w:abstractNumId w:val="35"/>
  </w:num>
  <w:num w:numId="38" w16cid:durableId="333731869">
    <w:abstractNumId w:val="28"/>
  </w:num>
  <w:num w:numId="39" w16cid:durableId="303851530">
    <w:abstractNumId w:val="25"/>
  </w:num>
  <w:num w:numId="40" w16cid:durableId="209852051">
    <w:abstractNumId w:val="29"/>
  </w:num>
  <w:num w:numId="41" w16cid:durableId="864907401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8A1"/>
    <w:rsid w:val="00013B92"/>
    <w:rsid w:val="000159F7"/>
    <w:rsid w:val="00023554"/>
    <w:rsid w:val="0003485D"/>
    <w:rsid w:val="00043C38"/>
    <w:rsid w:val="00051971"/>
    <w:rsid w:val="0005418B"/>
    <w:rsid w:val="00060AD9"/>
    <w:rsid w:val="00062D39"/>
    <w:rsid w:val="0008454A"/>
    <w:rsid w:val="000A0FF4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914"/>
    <w:rsid w:val="000F5D27"/>
    <w:rsid w:val="0012766D"/>
    <w:rsid w:val="00140D43"/>
    <w:rsid w:val="00142D17"/>
    <w:rsid w:val="001511D9"/>
    <w:rsid w:val="00152D19"/>
    <w:rsid w:val="00163028"/>
    <w:rsid w:val="00195C93"/>
    <w:rsid w:val="001A4F69"/>
    <w:rsid w:val="001C13B4"/>
    <w:rsid w:val="001C3D5E"/>
    <w:rsid w:val="001D4D83"/>
    <w:rsid w:val="001D544A"/>
    <w:rsid w:val="001E08E3"/>
    <w:rsid w:val="001E1B38"/>
    <w:rsid w:val="001E4083"/>
    <w:rsid w:val="00214880"/>
    <w:rsid w:val="00237EFA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D1675"/>
    <w:rsid w:val="002E3DFB"/>
    <w:rsid w:val="002E3FF9"/>
    <w:rsid w:val="002F5F1C"/>
    <w:rsid w:val="00301365"/>
    <w:rsid w:val="00303338"/>
    <w:rsid w:val="00304D7D"/>
    <w:rsid w:val="003207B9"/>
    <w:rsid w:val="00345FA3"/>
    <w:rsid w:val="00355C21"/>
    <w:rsid w:val="00370D1D"/>
    <w:rsid w:val="00395F34"/>
    <w:rsid w:val="003B0B4A"/>
    <w:rsid w:val="003C28BC"/>
    <w:rsid w:val="003C59AC"/>
    <w:rsid w:val="003E774E"/>
    <w:rsid w:val="00401D00"/>
    <w:rsid w:val="00413AA8"/>
    <w:rsid w:val="0041771F"/>
    <w:rsid w:val="00420A29"/>
    <w:rsid w:val="00427253"/>
    <w:rsid w:val="0043317D"/>
    <w:rsid w:val="00441075"/>
    <w:rsid w:val="0044792F"/>
    <w:rsid w:val="0046386D"/>
    <w:rsid w:val="0047226B"/>
    <w:rsid w:val="00496216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81FE1"/>
    <w:rsid w:val="005B5676"/>
    <w:rsid w:val="005C5513"/>
    <w:rsid w:val="005D0415"/>
    <w:rsid w:val="005D260C"/>
    <w:rsid w:val="005D5D80"/>
    <w:rsid w:val="005E2DD5"/>
    <w:rsid w:val="005E69E4"/>
    <w:rsid w:val="006042CB"/>
    <w:rsid w:val="006223E8"/>
    <w:rsid w:val="006435FC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177F0"/>
    <w:rsid w:val="00742D43"/>
    <w:rsid w:val="0078660D"/>
    <w:rsid w:val="00790F85"/>
    <w:rsid w:val="007943F6"/>
    <w:rsid w:val="0079768F"/>
    <w:rsid w:val="007B75E6"/>
    <w:rsid w:val="007D4773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C6F51"/>
    <w:rsid w:val="008D7AC0"/>
    <w:rsid w:val="00911266"/>
    <w:rsid w:val="00922D6B"/>
    <w:rsid w:val="00936747"/>
    <w:rsid w:val="009421CD"/>
    <w:rsid w:val="009915E9"/>
    <w:rsid w:val="00992C8B"/>
    <w:rsid w:val="009B7DA8"/>
    <w:rsid w:val="009C36EB"/>
    <w:rsid w:val="009D0599"/>
    <w:rsid w:val="009D2AE9"/>
    <w:rsid w:val="009E059B"/>
    <w:rsid w:val="00A24D15"/>
    <w:rsid w:val="00A33FFD"/>
    <w:rsid w:val="00A37843"/>
    <w:rsid w:val="00A40BE3"/>
    <w:rsid w:val="00A44878"/>
    <w:rsid w:val="00A6090F"/>
    <w:rsid w:val="00A60F91"/>
    <w:rsid w:val="00A71AEA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444C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2E51"/>
    <w:rsid w:val="00BB3496"/>
    <w:rsid w:val="00BB6931"/>
    <w:rsid w:val="00BD5714"/>
    <w:rsid w:val="00BE32B3"/>
    <w:rsid w:val="00BF4C97"/>
    <w:rsid w:val="00C4393C"/>
    <w:rsid w:val="00C44D99"/>
    <w:rsid w:val="00C51BC2"/>
    <w:rsid w:val="00C962BF"/>
    <w:rsid w:val="00CB46FA"/>
    <w:rsid w:val="00CD702D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08EE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F11F60"/>
    <w:rsid w:val="00F147DE"/>
    <w:rsid w:val="00F23C94"/>
    <w:rsid w:val="00F3472D"/>
    <w:rsid w:val="00F3697D"/>
    <w:rsid w:val="00F43B17"/>
    <w:rsid w:val="00F45FA1"/>
    <w:rsid w:val="00F55710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22B2E11B"/>
    <w:rsid w:val="455D2BBF"/>
    <w:rsid w:val="5A856E9B"/>
    <w:rsid w:val="5E2894EA"/>
    <w:rsid w:val="6ED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D1A9F2"/>
  <w15:chartTrackingRefBased/>
  <w15:docId w15:val="{1488E89C-DC2A-4496-B2BB-C12D161947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4">
    <w:name w:val="heading 4"/>
    <w:basedOn w:val="Normalny"/>
    <w:next w:val="Normalny"/>
    <w:link w:val="Nagwek4Znak"/>
    <w:qFormat/>
    <w:rsid w:val="00142D17"/>
    <w:pPr>
      <w:keepNext/>
      <w:ind w:left="356"/>
      <w:outlineLvl w:val="3"/>
    </w:pPr>
    <w:rPr>
      <w:rFonts w:cs="Times New Roman"/>
      <w:b/>
      <w:bCs/>
      <w:i/>
      <w:iCs/>
      <w:sz w:val="20"/>
      <w:szCs w:val="20"/>
      <w:lang w:eastAsia="x-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qFormat/>
    <w:rsid w:val="00142D17"/>
    <w:pPr>
      <w:ind w:left="720"/>
      <w:contextualSpacing/>
    </w:pPr>
    <w:rPr>
      <w:rFonts w:ascii="Times New Roman" w:hAnsi="Times New Roman" w:eastAsia="Times New Roman" w:cs="Times New Roman"/>
      <w:color w:val="auto"/>
      <w:lang w:val="pl-PL"/>
    </w:rPr>
  </w:style>
  <w:style w:type="character" w:styleId="Nagwek4Znak" w:customStyle="1">
    <w:name w:val="Nagłówek 4 Znak"/>
    <w:link w:val="Nagwek4"/>
    <w:rsid w:val="00142D17"/>
    <w:rPr>
      <w:b/>
      <w:bCs/>
      <w:i/>
      <w:iCs/>
      <w:color w:val="000000"/>
      <w:lang w:val="pl"/>
    </w:rPr>
  </w:style>
  <w:style w:type="character" w:styleId="Bodytext393" w:customStyle="1">
    <w:name w:val="Body text (3) + 93"/>
    <w:aliases w:val="5 pt5"/>
    <w:rsid w:val="00142D17"/>
    <w:rPr>
      <w:rFonts w:ascii="Times New Roman" w:hAnsi="Times New Roman" w:cs="Times New Roman"/>
      <w:spacing w:val="0"/>
      <w:sz w:val="19"/>
      <w:u w:val="single"/>
    </w:rPr>
  </w:style>
  <w:style w:type="character" w:styleId="Nierozpoznanawzmianka">
    <w:name w:val="Unresolved Mention"/>
    <w:uiPriority w:val="99"/>
    <w:semiHidden/>
    <w:unhideWhenUsed/>
    <w:rsid w:val="0012766D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427253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bc.ore.edu.pl/Content/173/Zeszyt+1.+Konteksty+gotowo%C5%9Bci+szkolnej.pdf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109F-F012-44D7-BDAC-591B42F17D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20</revision>
  <lastPrinted>2016-12-21T16:36:00.0000000Z</lastPrinted>
  <dcterms:created xsi:type="dcterms:W3CDTF">2025-05-09T12:52:00.0000000Z</dcterms:created>
  <dcterms:modified xsi:type="dcterms:W3CDTF">2025-05-09T16:43:21.0696479Z</dcterms:modified>
</coreProperties>
</file>