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E3A6" w14:textId="77777777" w:rsidR="00E30DA9" w:rsidRPr="001A2251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1A2251">
        <w:rPr>
          <w:rFonts w:asciiTheme="minorHAnsi" w:hAnsiTheme="minorHAnsi" w:cstheme="minorHAnsi"/>
        </w:rPr>
        <w:t xml:space="preserve">Załącznik nr 4 do zarządzenia nr 189/2025 </w:t>
      </w:r>
    </w:p>
    <w:p w14:paraId="76F10F0C" w14:textId="77777777" w:rsidR="000746C5" w:rsidRPr="001A2251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8DB44F6" w14:textId="77777777" w:rsidR="000746C5" w:rsidRPr="001A225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A225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1A225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1A225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1A225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EF13FC0" w14:textId="77777777" w:rsidR="00363F81" w:rsidRPr="001A225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Pr="001A2251">
        <w:rPr>
          <w:rFonts w:asciiTheme="minorHAnsi" w:hAnsiTheme="minorHAnsi" w:cstheme="minorHAnsi"/>
        </w:rPr>
        <w:t xml:space="preserve"> </w:t>
      </w:r>
      <w:r w:rsidRPr="001A2251">
        <w:rPr>
          <w:rFonts w:asciiTheme="minorHAnsi" w:hAnsiTheme="minorHAnsi" w:cstheme="minorHAnsi"/>
          <w:sz w:val="24"/>
          <w:szCs w:val="24"/>
        </w:rPr>
        <w:t>0112-3PPW-F2-NDRD</w:t>
      </w:r>
    </w:p>
    <w:p w14:paraId="78276CEF" w14:textId="77777777" w:rsidR="004501ED" w:rsidRPr="001A225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1A225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1A225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1A225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Pr="001A2251">
        <w:rPr>
          <w:rFonts w:asciiTheme="minorHAnsi" w:hAnsiTheme="minorHAnsi" w:cstheme="minorHAnsi"/>
        </w:rPr>
        <w:t xml:space="preserve"> </w:t>
      </w:r>
      <w:r w:rsidRPr="001A2251">
        <w:rPr>
          <w:rFonts w:asciiTheme="minorHAnsi" w:hAnsiTheme="minorHAnsi" w:cstheme="minorHAnsi"/>
          <w:color w:val="auto"/>
        </w:rPr>
        <w:t>Nauczycielska diagnoza ryzyka dysleksji u dzieci</w:t>
      </w:r>
    </w:p>
    <w:p w14:paraId="1B8AF1E8" w14:textId="77777777" w:rsidR="004838B3" w:rsidRPr="001A225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1A225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Pr="001A2251">
        <w:rPr>
          <w:rFonts w:asciiTheme="minorHAnsi" w:hAnsiTheme="minorHAnsi" w:cstheme="minorHAnsi"/>
        </w:rPr>
        <w:t xml:space="preserve"> </w:t>
      </w:r>
      <w:r w:rsidRPr="001A2251">
        <w:rPr>
          <w:rFonts w:asciiTheme="minorHAnsi" w:hAnsiTheme="minorHAnsi" w:cstheme="minorHAnsi"/>
          <w:i w:val="0"/>
          <w:iCs/>
        </w:rPr>
        <w:t>Teacher’s Diagnosis of Dyslexia Risk Symptoms in Children</w:t>
      </w:r>
    </w:p>
    <w:p w14:paraId="3C6F061B" w14:textId="77777777" w:rsidR="000746C5" w:rsidRPr="001A225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A2251">
        <w:rPr>
          <w:iCs/>
          <w:color w:val="000000" w:themeColor="text1"/>
          <w:sz w:val="24"/>
          <w:szCs w:val="24"/>
        </w:rPr>
        <w:t>Usytuowanie</w:t>
      </w:r>
      <w:r w:rsidR="00BE67AE" w:rsidRPr="001A225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1A2251">
        <w:rPr>
          <w:iCs/>
          <w:color w:val="000000" w:themeColor="text1"/>
          <w:sz w:val="24"/>
          <w:szCs w:val="24"/>
        </w:rPr>
        <w:t xml:space="preserve"> (zajęć)</w:t>
      </w:r>
      <w:r w:rsidRPr="001A225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1A2251" w14:paraId="7F538709" w14:textId="77777777" w:rsidTr="004C2D66">
        <w:trPr>
          <w:trHeight w:val="282"/>
          <w:jc w:val="center"/>
        </w:trPr>
        <w:tc>
          <w:tcPr>
            <w:tcW w:w="4742" w:type="dxa"/>
          </w:tcPr>
          <w:p w14:paraId="0A4A15D3" w14:textId="77777777" w:rsidR="000746C5" w:rsidRPr="001A225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733F53A" w14:textId="77777777" w:rsidR="000746C5" w:rsidRPr="001A2251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341AC4" w:rsidRPr="001A2251" w14:paraId="7ECA81D7" w14:textId="77777777" w:rsidTr="004C2D66">
        <w:trPr>
          <w:trHeight w:val="285"/>
          <w:jc w:val="center"/>
        </w:trPr>
        <w:tc>
          <w:tcPr>
            <w:tcW w:w="4742" w:type="dxa"/>
          </w:tcPr>
          <w:p w14:paraId="427063B9" w14:textId="77777777" w:rsidR="000746C5" w:rsidRPr="001A225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CAE88FF" w14:textId="77777777" w:rsidR="000746C5" w:rsidRPr="001A2251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341AC4" w:rsidRPr="001A2251" w14:paraId="1F14EF34" w14:textId="77777777" w:rsidTr="004C2D66">
        <w:trPr>
          <w:trHeight w:val="285"/>
          <w:jc w:val="center"/>
        </w:trPr>
        <w:tc>
          <w:tcPr>
            <w:tcW w:w="4742" w:type="dxa"/>
          </w:tcPr>
          <w:p w14:paraId="39E401D4" w14:textId="77777777" w:rsidR="00AB3480" w:rsidRPr="001A2251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B26EB11" w14:textId="77777777" w:rsidR="00AB3480" w:rsidRPr="001A2251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341AC4" w:rsidRPr="001A2251" w14:paraId="5B2D6A9E" w14:textId="77777777" w:rsidTr="004C2D66">
        <w:trPr>
          <w:trHeight w:val="285"/>
          <w:jc w:val="center"/>
        </w:trPr>
        <w:tc>
          <w:tcPr>
            <w:tcW w:w="4742" w:type="dxa"/>
          </w:tcPr>
          <w:p w14:paraId="01295378" w14:textId="77777777" w:rsidR="000746C5" w:rsidRPr="001A2251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973D133" w14:textId="77777777" w:rsidR="000746C5" w:rsidRPr="001A2251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341AC4" w:rsidRPr="001A2251" w14:paraId="7EA7B0D6" w14:textId="77777777" w:rsidTr="004C2D66">
        <w:trPr>
          <w:trHeight w:val="282"/>
          <w:jc w:val="center"/>
        </w:trPr>
        <w:tc>
          <w:tcPr>
            <w:tcW w:w="4742" w:type="dxa"/>
          </w:tcPr>
          <w:p w14:paraId="7860139D" w14:textId="77777777" w:rsidR="000746C5" w:rsidRPr="001A225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8DD58E3" w14:textId="77777777" w:rsidR="000746C5" w:rsidRPr="001A2251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dr hab. Zuzanna Zbróg prof. UJK</w:t>
            </w:r>
          </w:p>
        </w:tc>
      </w:tr>
      <w:tr w:rsidR="00341AC4" w:rsidRPr="001A2251" w14:paraId="4824757C" w14:textId="77777777" w:rsidTr="004C2D66">
        <w:trPr>
          <w:trHeight w:val="285"/>
          <w:jc w:val="center"/>
        </w:trPr>
        <w:tc>
          <w:tcPr>
            <w:tcW w:w="4742" w:type="dxa"/>
          </w:tcPr>
          <w:p w14:paraId="023800AD" w14:textId="77777777" w:rsidR="000746C5" w:rsidRPr="001A225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97E94EF" w14:textId="77777777" w:rsidR="001373A5" w:rsidRPr="001A2251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zzbrog@ujk.edu.pl</w:t>
            </w:r>
          </w:p>
        </w:tc>
      </w:tr>
    </w:tbl>
    <w:p w14:paraId="39BBECAA" w14:textId="77777777" w:rsidR="000746C5" w:rsidRPr="001A225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A225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1A2251">
        <w:rPr>
          <w:iCs/>
          <w:color w:val="000000" w:themeColor="text1"/>
          <w:sz w:val="24"/>
          <w:szCs w:val="24"/>
        </w:rPr>
        <w:t>przedmiotu</w:t>
      </w:r>
      <w:r w:rsidR="00654EA0" w:rsidRPr="001A225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A2251" w14:paraId="1889CA78" w14:textId="77777777" w:rsidTr="00363F81">
        <w:trPr>
          <w:trHeight w:val="285"/>
          <w:jc w:val="center"/>
        </w:trPr>
        <w:tc>
          <w:tcPr>
            <w:tcW w:w="3467" w:type="dxa"/>
          </w:tcPr>
          <w:p w14:paraId="79730EB2" w14:textId="77777777" w:rsidR="000746C5" w:rsidRPr="001A225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E07B3CE" w14:textId="77777777" w:rsidR="000746C5" w:rsidRPr="001A2251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341AC4" w:rsidRPr="001A2251" w14:paraId="61213F40" w14:textId="77777777" w:rsidTr="00363F81">
        <w:trPr>
          <w:trHeight w:val="282"/>
          <w:jc w:val="center"/>
        </w:trPr>
        <w:tc>
          <w:tcPr>
            <w:tcW w:w="3467" w:type="dxa"/>
          </w:tcPr>
          <w:p w14:paraId="79290EE5" w14:textId="77777777" w:rsidR="000746C5" w:rsidRPr="001A225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72D54F6" w14:textId="4A0EB63F" w:rsidR="000746C5" w:rsidRPr="001A2251" w:rsidRDefault="001A22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</w:t>
            </w:r>
          </w:p>
        </w:tc>
      </w:tr>
    </w:tbl>
    <w:p w14:paraId="53846AF1" w14:textId="77777777" w:rsidR="000746C5" w:rsidRPr="001A225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A225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1A2251">
        <w:rPr>
          <w:iCs/>
          <w:color w:val="000000" w:themeColor="text1"/>
          <w:sz w:val="24"/>
          <w:szCs w:val="24"/>
        </w:rPr>
        <w:t>przedmiotu</w:t>
      </w:r>
      <w:r w:rsidR="00654EA0" w:rsidRPr="001A225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1A2251" w14:paraId="2A5565E5" w14:textId="77777777" w:rsidTr="00402BCD">
        <w:trPr>
          <w:trHeight w:val="285"/>
          <w:jc w:val="center"/>
        </w:trPr>
        <w:tc>
          <w:tcPr>
            <w:tcW w:w="3466" w:type="dxa"/>
          </w:tcPr>
          <w:p w14:paraId="1A078096" w14:textId="77777777" w:rsidR="000746C5" w:rsidRPr="001A225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CDCB696" w14:textId="77777777" w:rsidR="000746C5" w:rsidRPr="001A2251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1A2251" w14:paraId="7FBDDD99" w14:textId="77777777" w:rsidTr="00402BCD">
        <w:trPr>
          <w:trHeight w:val="282"/>
          <w:jc w:val="center"/>
        </w:trPr>
        <w:tc>
          <w:tcPr>
            <w:tcW w:w="3466" w:type="dxa"/>
          </w:tcPr>
          <w:p w14:paraId="2932CE05" w14:textId="77777777" w:rsidR="000746C5" w:rsidRPr="001A225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D1668C4" w14:textId="77777777" w:rsidR="000746C5" w:rsidRPr="001A2251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1A2251" w14:paraId="0DC788C8" w14:textId="77777777" w:rsidTr="00402BCD">
        <w:trPr>
          <w:trHeight w:val="285"/>
          <w:jc w:val="center"/>
        </w:trPr>
        <w:tc>
          <w:tcPr>
            <w:tcW w:w="3466" w:type="dxa"/>
          </w:tcPr>
          <w:p w14:paraId="31EB31D7" w14:textId="77777777" w:rsidR="000746C5" w:rsidRPr="001A225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6E3D74E" w14:textId="77777777" w:rsidR="000746C5" w:rsidRPr="001A2251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1A2251" w14:paraId="723AE0A1" w14:textId="77777777" w:rsidTr="00402BCD">
        <w:trPr>
          <w:trHeight w:val="282"/>
          <w:jc w:val="center"/>
        </w:trPr>
        <w:tc>
          <w:tcPr>
            <w:tcW w:w="3466" w:type="dxa"/>
          </w:tcPr>
          <w:p w14:paraId="3AD71209" w14:textId="77777777" w:rsidR="000746C5" w:rsidRPr="001A225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7DBB1A4" w14:textId="77777777" w:rsidR="00402BCD" w:rsidRPr="001A2251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Wykład problemowy, analiza przypadków, warsztaty dydaktyczne</w:t>
            </w:r>
          </w:p>
        </w:tc>
      </w:tr>
      <w:tr w:rsidR="00341AC4" w:rsidRPr="001A2251" w14:paraId="42949B3E" w14:textId="77777777" w:rsidTr="00402BCD">
        <w:trPr>
          <w:trHeight w:val="285"/>
          <w:jc w:val="center"/>
        </w:trPr>
        <w:tc>
          <w:tcPr>
            <w:tcW w:w="3466" w:type="dxa"/>
          </w:tcPr>
          <w:p w14:paraId="57C86A96" w14:textId="77777777" w:rsidR="00566B57" w:rsidRPr="001A225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EADDE20" w14:textId="77777777" w:rsidR="00566B57" w:rsidRPr="001A2251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Krasowicz-Kupis G., Bogdanowicz K., Wiejak K., Skala Prognoz Edukacyjnych SPE IBE, Warszawa 2015.</w:t>
            </w:r>
          </w:p>
          <w:p w14:paraId="2F2F3F1A" w14:textId="77777777" w:rsidR="00566B57" w:rsidRPr="001A2251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Kochańska M., Język i komunikacja – skala obserwacyjna dla nauczycieli, Warszawa 2015.</w:t>
            </w:r>
          </w:p>
        </w:tc>
      </w:tr>
      <w:tr w:rsidR="00341AC4" w:rsidRPr="001A2251" w14:paraId="3A02FBF7" w14:textId="77777777" w:rsidTr="00402BCD">
        <w:trPr>
          <w:trHeight w:val="285"/>
          <w:jc w:val="center"/>
        </w:trPr>
        <w:tc>
          <w:tcPr>
            <w:tcW w:w="3466" w:type="dxa"/>
          </w:tcPr>
          <w:p w14:paraId="5A146859" w14:textId="77777777" w:rsidR="00566B57" w:rsidRPr="001A225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BF3FB77" w14:textId="77777777" w:rsidR="00566B57" w:rsidRPr="001A2251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Bogdanowicz M., Ryzyko dysleksji, dysortografii i dysgrafii, Gdańsk, 2011.</w:t>
            </w:r>
          </w:p>
        </w:tc>
      </w:tr>
    </w:tbl>
    <w:p w14:paraId="1F89169D" w14:textId="77777777" w:rsidR="000746C5" w:rsidRPr="001A225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A2251">
        <w:rPr>
          <w:iCs/>
          <w:color w:val="000000" w:themeColor="text1"/>
          <w:sz w:val="24"/>
          <w:szCs w:val="24"/>
        </w:rPr>
        <w:t>Cele, treści i efekty uczenia się</w:t>
      </w:r>
    </w:p>
    <w:p w14:paraId="69353D61" w14:textId="77777777" w:rsidR="003E0703" w:rsidRPr="001A2251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A80A2DB" w14:textId="426E7AF6" w:rsidR="003E0703" w:rsidRPr="001A225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C1: zdobycie umiejętności prowadzenia przesiewowych badań ryzyka dysleksji u dzieci w wieku przedszkolnym i wczesnoszkolnym z wykorzystaniem standaryzowanych i znormalizowanych narzędzi diagnostycznych.</w:t>
      </w:r>
    </w:p>
    <w:p w14:paraId="73F4859F" w14:textId="77777777" w:rsidR="003E0703" w:rsidRPr="001A225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 – zdobycie umiejętności programowania spersonalizowanych programów kształcenia językowego na podstawie wyników badań diagnostycznych.</w:t>
      </w:r>
    </w:p>
    <w:p w14:paraId="06B70B58" w14:textId="77777777" w:rsidR="003E0703" w:rsidRPr="001A225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 – zdobycie umiejętności ustnego opisywania kolejnych działań badawczych (obserwacji, przesiewowego wywiadu z wykorzystaniem standaryzowanych i znormalizowanych narzędzi diagnostycznych) w ramach metodologii badań nad ryzykiem dysleksji u dzieci w wieku przedszkolnym i wczesnoszkolnym.</w:t>
      </w:r>
    </w:p>
    <w:p w14:paraId="373AD5B5" w14:textId="77777777" w:rsidR="003E0703" w:rsidRPr="001A2251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4BEE274" w14:textId="77777777" w:rsidR="006D764F" w:rsidRPr="001A2251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2A022B1F" w14:textId="77777777" w:rsidR="006D764F" w:rsidRPr="001A2251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sz w:val="24"/>
          <w:szCs w:val="24"/>
        </w:rPr>
        <w:t>Zapoznanie z kartą przedmiotu i warunkami zaliczenia przedmiotu.</w:t>
      </w:r>
    </w:p>
    <w:p w14:paraId="303D19D5" w14:textId="77777777" w:rsidR="006D764F" w:rsidRPr="001A2251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sz w:val="24"/>
          <w:szCs w:val="24"/>
        </w:rPr>
        <w:t>Dysleksja jako zaburzenie neurorozwojowe. Kluczowe objawy wg klasyfikacji ICF, ICD, DSM. Konstelacja dysleksji Habiba.</w:t>
      </w:r>
    </w:p>
    <w:p w14:paraId="3314C47D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Diagnoza objawowa a diagnoza funkcjonalna.</w:t>
      </w:r>
    </w:p>
    <w:p w14:paraId="3EC2CD85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Przesiewowa diagnoza funkcjonalna w przedszkolu i klasach I-III.</w:t>
      </w:r>
    </w:p>
    <w:p w14:paraId="5253468D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Wskaźniki zaburzeń czytania, przyczyny i przejawy trudności w rozwoju, uczeniu się i zachowaniu w związku z ryzykiem dysleksji dzieci w wieku przedszkolnym i uczniów w młodszym wieku szkolnym.</w:t>
      </w:r>
    </w:p>
    <w:p w14:paraId="5FC663E4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Narzędzia do nauczycielskiej diagnozy ryzyka dysleksji na progu szkoły.</w:t>
      </w:r>
    </w:p>
    <w:p w14:paraId="58F30568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Metodyka korzystania z narzędzi – warsztaty.</w:t>
      </w:r>
    </w:p>
    <w:p w14:paraId="7E234FFA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Opis przeprowadzonych przez studenta działań badawczych (obserwacji, przesiewowego wywiadu z wykorzystaniem standaryzowanych i znormalizowanych narzędzi diagnostycznych) w ramach metodologii badań nad ryzykiem dysleksji u dzieci w wieku przedszkolnym i wczesnoszkolnym.</w:t>
      </w:r>
    </w:p>
    <w:p w14:paraId="2BC02AEC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Przegląd literatury naukowej dotyczącej konsekwencji braku działań pomocowych dzieciom z problemami w rozwoju sprawności językowych i komunikacyjnych, m.in. dotyczących niespecyficznych i specyficznych trudności w czytaniu i pisaniu, także funkcjonowania społecznego w przedszkolu i szkole.</w:t>
      </w:r>
    </w:p>
    <w:p w14:paraId="063B7861" w14:textId="77777777" w:rsidR="00EA7C7B" w:rsidRPr="001A2251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color w:val="000000" w:themeColor="text1"/>
          <w:sz w:val="24"/>
          <w:szCs w:val="24"/>
        </w:rPr>
        <w:t>Różne metody terapii ryzyka dysleksji, w tym metoda 18 struktur wyrazowych i metoda krakowska.</w:t>
      </w:r>
    </w:p>
    <w:p w14:paraId="5AE0746F" w14:textId="77777777" w:rsidR="00436303" w:rsidRPr="001A225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1A2251" w14:paraId="04EF76A1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FDFB8E3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A225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C4D240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A225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A225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DC2CFC5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5A98F68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1A6BD0D" w14:textId="77777777" w:rsidR="00A713B4" w:rsidRPr="001A225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A2251" w14:paraId="0DFF290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4AF8F44" w14:textId="77777777" w:rsidR="006E60C3" w:rsidRPr="001A2251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7E17DAC6" w14:textId="77777777" w:rsidR="006E60C3" w:rsidRPr="001A2251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Student(ka) ma wiedzę dotyczącą prowadzenia badań diagnostycznych o charakterze przesiewowym wśród dzieci w wieku przedszkolnym i wczesnoszkolnym w zakresie ryzyka dysleksji; zna i rozumie teorie, klasyfikacje (w tym ICF, ICD, DSM), przyczyny i przejawy trudności w rozwoju, uczeniu się i zachowaniu oraz narzędzia oceny funkcjonalnej dzieci w wieku przedszkolnym i uczniów w młodszym wieku szkolnym.</w:t>
            </w:r>
          </w:p>
        </w:tc>
        <w:tc>
          <w:tcPr>
            <w:tcW w:w="1773" w:type="dxa"/>
          </w:tcPr>
          <w:p w14:paraId="7430CB2C" w14:textId="77777777" w:rsidR="006E60C3" w:rsidRPr="001A2251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  <w:p w14:paraId="0EEF50E5" w14:textId="77777777" w:rsidR="006E60C3" w:rsidRPr="001A2251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F.W.3, F.W.4</w:t>
            </w:r>
          </w:p>
        </w:tc>
      </w:tr>
    </w:tbl>
    <w:p w14:paraId="10D6929F" w14:textId="77777777" w:rsidR="00A713B4" w:rsidRPr="001A225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1A2251" w14:paraId="116D06D5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2C38866" w14:textId="77777777" w:rsidR="00A713B4" w:rsidRPr="001A2251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2547217" w14:textId="77777777" w:rsidR="00A713B4" w:rsidRPr="001A2251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Student(ka) prowadzi przesiewowe badania ryzyka dysleksji z wykorzystaniem standaryzowanych i znormalizowanych narzędzi diagnostycznych, opisując kolejne podejmowane działania badawcze; dokonuje oceny funkcjonowania dziecka w wieku przedszkolnym i ucznia w młodszym wieku szkolnym, w tym dziecka z niepełnosprawnością, wykorzystując klasyfikacje i narzędzia diagnostyczne, w tym ICF, ICD i DSM.</w:t>
            </w:r>
          </w:p>
        </w:tc>
        <w:tc>
          <w:tcPr>
            <w:tcW w:w="1773" w:type="dxa"/>
          </w:tcPr>
          <w:p w14:paraId="2CA9CFAC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PPW_U02</w:t>
            </w:r>
          </w:p>
          <w:p w14:paraId="0990C1F2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F.U1</w:t>
            </w:r>
          </w:p>
        </w:tc>
      </w:tr>
    </w:tbl>
    <w:p w14:paraId="1EABC969" w14:textId="77777777" w:rsidR="00A713B4" w:rsidRPr="001A225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A225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A2251" w14:paraId="42536A0E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F5A852E" w14:textId="77777777" w:rsidR="00A713B4" w:rsidRPr="001A2251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0EB40CDB" w14:textId="77777777" w:rsidR="00A713B4" w:rsidRPr="001A2251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Student(ka) posługuje się normami etycznymi w działalności zawodowej, w procesie wychowania i kształcenia dzieci lub uczniów ze specjalnymi potrzebami rozwojowymi lub edukacyjnymi, kierując się szacunkiem dla dziecka przejawiającego szczególne trudności w rozwoju językowym.</w:t>
            </w:r>
          </w:p>
        </w:tc>
        <w:tc>
          <w:tcPr>
            <w:tcW w:w="1773" w:type="dxa"/>
          </w:tcPr>
          <w:p w14:paraId="2C5DEA8D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PPW_K01</w:t>
            </w:r>
          </w:p>
          <w:p w14:paraId="29FBF785" w14:textId="77777777" w:rsidR="00A713B4" w:rsidRPr="001A225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sz w:val="21"/>
                <w:szCs w:val="21"/>
              </w:rPr>
              <w:t>F.K1</w:t>
            </w:r>
          </w:p>
        </w:tc>
      </w:tr>
    </w:tbl>
    <w:p w14:paraId="15187288" w14:textId="77777777" w:rsidR="00436303" w:rsidRPr="001A225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65EE7DE8" w14:textId="77777777" w:rsidR="00CF48D1" w:rsidRPr="001A225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1A2251" w14:paraId="7CD0C55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9611775" w14:textId="77777777" w:rsidR="00CF48D1" w:rsidRPr="001A2251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CCDA5BD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85C3361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742BE37B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C2DE51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8D7B45A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62E9BE4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51F4055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7AF3FA28" w14:textId="77777777" w:rsidR="00CF48D1" w:rsidRPr="001A225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501F36AF" w14:textId="77777777" w:rsidR="00CF48D1" w:rsidRPr="001A225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1A2251" w14:paraId="6B02EEA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881BD67" w14:textId="77777777" w:rsidR="00DE1F53" w:rsidRPr="001A2251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44BEC7E" w14:textId="77777777" w:rsidR="00B20F2C" w:rsidRPr="001A2251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FBC499B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560A31D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75E6748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ACDD2B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AD944F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1F84CC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33667BE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36B181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2444E4B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7C886E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18AE776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DE6B50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7C7C6E8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626B33B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5B6CF6D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405F25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8EBA0C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8453A0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A88DEF1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FDD97C4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31440B2" w14:textId="77777777" w:rsidR="00DE1F53" w:rsidRPr="001A225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1A2251" w14:paraId="2F219B5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A8ACF4A" w14:textId="7D31C604" w:rsidR="00F05892" w:rsidRPr="001A225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A3F3A7F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B41A91" w14:textId="22C52195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166BECE4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6BB3DB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DFA7E8" w14:textId="30CCFA3A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3956D5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C50443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418B35" w14:textId="2247C27D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6863650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DE6E89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1433E95" w14:textId="77052A15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C4B889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E85AE0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F32E00" w14:textId="3E2862F4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387BC2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F09F6F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215CFD" w14:textId="6005DD6E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F90C89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62A734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B56204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7E020D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1A2251" w14:paraId="6DD7621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7B51F3C" w14:textId="3A9B4490" w:rsidR="00F05892" w:rsidRPr="001A225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A7C092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78EF05" w14:textId="7FA60593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11766D55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D198B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D99DCC" w14:textId="42A85D22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876CB5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622E2C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9246B2" w14:textId="35FD04C3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3FAEE61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BEE35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D255827" w14:textId="1C2C6CDB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B3A330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884C2A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DEDE64" w14:textId="2E690EAC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E069B57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821992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1BBC05" w14:textId="5C0CAB76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08FEA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1F4483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940D44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CD9B9B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1A2251" w14:paraId="1BC1102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A894D63" w14:textId="031FD398" w:rsidR="00F05892" w:rsidRPr="001A225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06AA4B0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3C9F9E" w14:textId="1F30DE4D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3EC46CA1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83C7A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84BB95" w14:textId="5009C7EE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1D23DC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F59BD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697188" w14:textId="46AC6E07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5355F1A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8E231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6E5F1FD" w14:textId="6F58D676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816AAD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E63AAC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65D1CB" w14:textId="0F64A2C5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2E3581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C7911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172476" w14:textId="6D1ABA49" w:rsidR="00F05892" w:rsidRPr="001A2251" w:rsidRDefault="001A2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DE8063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00E50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61DD50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74467E" w14:textId="77777777" w:rsidR="00F05892" w:rsidRPr="001A225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2F0F9C4" w14:textId="77777777" w:rsidR="00906C25" w:rsidRPr="001A2251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1A225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1A2251">
        <w:rPr>
          <w:rFonts w:asciiTheme="minorHAnsi" w:hAnsiTheme="minorHAnsi" w:cstheme="minorHAnsi"/>
          <w:iCs/>
          <w:color w:val="000000" w:themeColor="text1"/>
        </w:rPr>
        <w:t>.</w:t>
      </w:r>
      <w:r w:rsidRPr="001A225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1A2251">
        <w:rPr>
          <w:rFonts w:asciiTheme="minorHAnsi" w:hAnsiTheme="minorHAnsi" w:cstheme="minorHAnsi"/>
          <w:iCs/>
          <w:color w:val="000000" w:themeColor="text1"/>
        </w:rPr>
        <w:t>ę</w:t>
      </w:r>
    </w:p>
    <w:p w14:paraId="61AAA619" w14:textId="77777777" w:rsidR="00906C25" w:rsidRPr="001A2251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2F4F206" w14:textId="77777777" w:rsidR="009109EC" w:rsidRPr="001A225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9F5B9E8" w14:textId="77777777" w:rsidR="00896E3C" w:rsidRPr="001A225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1A225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1A225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1A225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1A2251" w14:paraId="5E1EE0AF" w14:textId="77777777" w:rsidTr="000D4346">
        <w:trPr>
          <w:jc w:val="center"/>
        </w:trPr>
        <w:tc>
          <w:tcPr>
            <w:tcW w:w="953" w:type="dxa"/>
          </w:tcPr>
          <w:p w14:paraId="02E9B813" w14:textId="77777777" w:rsidR="00896E3C" w:rsidRPr="001A225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B476C9E" w14:textId="77777777" w:rsidR="00896E3C" w:rsidRPr="001A225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1A2251" w14:paraId="4B2DCFE9" w14:textId="77777777" w:rsidTr="000D4346">
        <w:trPr>
          <w:jc w:val="center"/>
        </w:trPr>
        <w:tc>
          <w:tcPr>
            <w:tcW w:w="953" w:type="dxa"/>
          </w:tcPr>
          <w:p w14:paraId="619E9102" w14:textId="77777777" w:rsidR="00913ECD" w:rsidRPr="001A2251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B2DE819" w14:textId="04F2CFC8" w:rsidR="00913ECD" w:rsidRPr="001A2251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Opracowanie diagnozy dziecka w wieku 6-8 lat. Interpretacja wyników badania. Ocena w przedziale: 50–60%.</w:t>
            </w:r>
          </w:p>
        </w:tc>
      </w:tr>
      <w:tr w:rsidR="00341AC4" w:rsidRPr="001A2251" w14:paraId="2BA3E22F" w14:textId="77777777" w:rsidTr="000D4346">
        <w:trPr>
          <w:jc w:val="center"/>
        </w:trPr>
        <w:tc>
          <w:tcPr>
            <w:tcW w:w="953" w:type="dxa"/>
          </w:tcPr>
          <w:p w14:paraId="378E0CC4" w14:textId="77777777" w:rsidR="00913ECD" w:rsidRPr="001A2251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F8C7CFD" w14:textId="7219E99F" w:rsidR="00913ECD" w:rsidRPr="001A2251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Opracowanie diagnozy dziecka w wieku 6-8 lat. Interpretacja wyników badania. Ocena w przedziale: 61–70%.</w:t>
            </w:r>
          </w:p>
        </w:tc>
      </w:tr>
      <w:tr w:rsidR="00341AC4" w:rsidRPr="001A2251" w14:paraId="11435C3C" w14:textId="77777777" w:rsidTr="000D4346">
        <w:trPr>
          <w:jc w:val="center"/>
        </w:trPr>
        <w:tc>
          <w:tcPr>
            <w:tcW w:w="953" w:type="dxa"/>
          </w:tcPr>
          <w:p w14:paraId="4928EA9C" w14:textId="77777777" w:rsidR="00913ECD" w:rsidRPr="001A2251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1BD2BBA" w14:textId="67245AEA" w:rsidR="00913ECD" w:rsidRPr="001A2251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Opracowanie diagnozy dziecka w wieku 6-8 lat. Interpretacja wyników badania. Ocena w przedziale: 71–80%.</w:t>
            </w:r>
          </w:p>
        </w:tc>
      </w:tr>
      <w:tr w:rsidR="00341AC4" w:rsidRPr="001A2251" w14:paraId="3C4EF7FE" w14:textId="77777777" w:rsidTr="000D4346">
        <w:trPr>
          <w:jc w:val="center"/>
        </w:trPr>
        <w:tc>
          <w:tcPr>
            <w:tcW w:w="953" w:type="dxa"/>
          </w:tcPr>
          <w:p w14:paraId="60361F38" w14:textId="77777777" w:rsidR="00913ECD" w:rsidRPr="001A2251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75894BE" w14:textId="78C0C169" w:rsidR="00913ECD" w:rsidRPr="001A2251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Opracowanie diagnozy dziecka w wieku 6-8 lat. Interpretacja wyników badania. Ocena w przedziale: 81–90%.</w:t>
            </w:r>
          </w:p>
        </w:tc>
      </w:tr>
      <w:tr w:rsidR="00341AC4" w:rsidRPr="001A2251" w14:paraId="32EB4261" w14:textId="77777777" w:rsidTr="000D4346">
        <w:trPr>
          <w:jc w:val="center"/>
        </w:trPr>
        <w:tc>
          <w:tcPr>
            <w:tcW w:w="953" w:type="dxa"/>
          </w:tcPr>
          <w:p w14:paraId="3C8CA33D" w14:textId="77777777" w:rsidR="00913ECD" w:rsidRPr="001A2251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A5F3E70" w14:textId="15C8C365" w:rsidR="00913ECD" w:rsidRPr="001A2251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Opracowanie diagnozy dziecka w wieku 6-8 lat. Interpretacja wyników badania. Ocena w przedziale: 91–100%.</w:t>
            </w:r>
          </w:p>
        </w:tc>
      </w:tr>
    </w:tbl>
    <w:p w14:paraId="08ACA3DA" w14:textId="77777777" w:rsidR="000746C5" w:rsidRPr="001A2251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A2251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A2251" w14:paraId="3F521751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899B" w14:textId="77777777" w:rsidR="00896E3C" w:rsidRPr="001A2251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5A9EDFB" w14:textId="77777777" w:rsidR="00896E3C" w:rsidRPr="001A225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31B7486" w14:textId="77777777" w:rsidR="00896E3C" w:rsidRPr="001A225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1A2251" w14:paraId="0B1EC7E6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5541B6" w14:textId="35697C5B" w:rsidR="00896E3C" w:rsidRPr="001A225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0C6C14E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3F28D2E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10</w:t>
            </w:r>
          </w:p>
        </w:tc>
      </w:tr>
      <w:tr w:rsidR="00341AC4" w:rsidRPr="001A2251" w14:paraId="299D84AF" w14:textId="77777777" w:rsidTr="006C5000">
        <w:trPr>
          <w:trHeight w:val="282"/>
          <w:jc w:val="center"/>
        </w:trPr>
        <w:tc>
          <w:tcPr>
            <w:tcW w:w="5499" w:type="dxa"/>
          </w:tcPr>
          <w:p w14:paraId="179A760C" w14:textId="77777777" w:rsidR="00896E3C" w:rsidRPr="001A225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BAF62C8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3" w:type="dxa"/>
            <w:vAlign w:val="center"/>
          </w:tcPr>
          <w:p w14:paraId="326D63E1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10</w:t>
            </w:r>
          </w:p>
        </w:tc>
      </w:tr>
      <w:tr w:rsidR="00341AC4" w:rsidRPr="001A2251" w14:paraId="79EFDC03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8527EE3" w14:textId="77777777" w:rsidR="00896E3C" w:rsidRPr="001A225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1A22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FDA96AB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FD2ED8C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15</w:t>
            </w:r>
          </w:p>
        </w:tc>
      </w:tr>
      <w:tr w:rsidR="00341AC4" w:rsidRPr="001A2251" w14:paraId="6C8394C3" w14:textId="77777777" w:rsidTr="00A5532D">
        <w:trPr>
          <w:trHeight w:val="285"/>
          <w:jc w:val="center"/>
        </w:trPr>
        <w:tc>
          <w:tcPr>
            <w:tcW w:w="5499" w:type="dxa"/>
          </w:tcPr>
          <w:p w14:paraId="296ED219" w14:textId="0A1FE723" w:rsidR="00896E3C" w:rsidRPr="001A225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1A225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="001A225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: opracowanie diagnozy</w:t>
            </w:r>
          </w:p>
        </w:tc>
        <w:tc>
          <w:tcPr>
            <w:tcW w:w="2172" w:type="dxa"/>
            <w:vAlign w:val="center"/>
          </w:tcPr>
          <w:p w14:paraId="1B7EDFC7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3" w:type="dxa"/>
            <w:vAlign w:val="center"/>
          </w:tcPr>
          <w:p w14:paraId="6D5B8ED6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15</w:t>
            </w:r>
          </w:p>
        </w:tc>
      </w:tr>
      <w:tr w:rsidR="00341AC4" w:rsidRPr="001A2251" w14:paraId="285E250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EEEE1C6" w14:textId="77777777" w:rsidR="00896E3C" w:rsidRPr="001A225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580FD0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663A92E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25</w:t>
            </w:r>
          </w:p>
        </w:tc>
      </w:tr>
      <w:tr w:rsidR="00341AC4" w:rsidRPr="001A2251" w14:paraId="6A2DE33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EC0274F" w14:textId="77777777" w:rsidR="00896E3C" w:rsidRPr="001A225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1A22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CB0D564" w14:textId="77777777" w:rsidR="001106DC" w:rsidRPr="001A2251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F75969" w14:textId="77777777" w:rsidR="00896E3C" w:rsidRPr="001A225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2251">
              <w:rPr>
                <w:rFonts w:asciiTheme="minorHAnsi" w:hAnsiTheme="minorHAnsi" w:cstheme="minorHAnsi"/>
              </w:rPr>
              <w:t>1</w:t>
            </w:r>
          </w:p>
        </w:tc>
      </w:tr>
    </w:tbl>
    <w:p w14:paraId="0BC7141C" w14:textId="77777777" w:rsidR="00896E3C" w:rsidRPr="001A225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1A22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A225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A225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1A225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1A225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F5B1D82" w14:textId="77777777" w:rsidR="00896E3C" w:rsidRPr="001A225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1A225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1A225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1A225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35866908">
    <w:abstractNumId w:val="32"/>
  </w:num>
  <w:num w:numId="2" w16cid:durableId="184756782">
    <w:abstractNumId w:val="4"/>
  </w:num>
  <w:num w:numId="3" w16cid:durableId="1000693620">
    <w:abstractNumId w:val="17"/>
  </w:num>
  <w:num w:numId="4" w16cid:durableId="1056902831">
    <w:abstractNumId w:val="33"/>
  </w:num>
  <w:num w:numId="5" w16cid:durableId="1771120107">
    <w:abstractNumId w:val="2"/>
  </w:num>
  <w:num w:numId="6" w16cid:durableId="1097826056">
    <w:abstractNumId w:val="31"/>
  </w:num>
  <w:num w:numId="7" w16cid:durableId="320502075">
    <w:abstractNumId w:val="9"/>
  </w:num>
  <w:num w:numId="8" w16cid:durableId="839542609">
    <w:abstractNumId w:val="16"/>
  </w:num>
  <w:num w:numId="9" w16cid:durableId="1834909414">
    <w:abstractNumId w:val="6"/>
  </w:num>
  <w:num w:numId="10" w16cid:durableId="571357662">
    <w:abstractNumId w:val="23"/>
  </w:num>
  <w:num w:numId="11" w16cid:durableId="1530605403">
    <w:abstractNumId w:val="24"/>
  </w:num>
  <w:num w:numId="12" w16cid:durableId="1336423913">
    <w:abstractNumId w:val="30"/>
  </w:num>
  <w:num w:numId="13" w16cid:durableId="238565214">
    <w:abstractNumId w:val="11"/>
  </w:num>
  <w:num w:numId="14" w16cid:durableId="1353721546">
    <w:abstractNumId w:val="27"/>
  </w:num>
  <w:num w:numId="15" w16cid:durableId="1604070388">
    <w:abstractNumId w:val="29"/>
  </w:num>
  <w:num w:numId="16" w16cid:durableId="1871646789">
    <w:abstractNumId w:val="28"/>
  </w:num>
  <w:num w:numId="17" w16cid:durableId="1012682641">
    <w:abstractNumId w:val="19"/>
  </w:num>
  <w:num w:numId="18" w16cid:durableId="949900069">
    <w:abstractNumId w:val="8"/>
  </w:num>
  <w:num w:numId="19" w16cid:durableId="510610052">
    <w:abstractNumId w:val="12"/>
  </w:num>
  <w:num w:numId="20" w16cid:durableId="63186643">
    <w:abstractNumId w:val="1"/>
  </w:num>
  <w:num w:numId="21" w16cid:durableId="666133651">
    <w:abstractNumId w:val="20"/>
  </w:num>
  <w:num w:numId="22" w16cid:durableId="276058699">
    <w:abstractNumId w:val="22"/>
  </w:num>
  <w:num w:numId="23" w16cid:durableId="474836102">
    <w:abstractNumId w:val="0"/>
  </w:num>
  <w:num w:numId="24" w16cid:durableId="505900970">
    <w:abstractNumId w:val="34"/>
  </w:num>
  <w:num w:numId="25" w16cid:durableId="1324622424">
    <w:abstractNumId w:val="10"/>
  </w:num>
  <w:num w:numId="26" w16cid:durableId="1211528904">
    <w:abstractNumId w:val="18"/>
  </w:num>
  <w:num w:numId="27" w16cid:durableId="683479580">
    <w:abstractNumId w:val="35"/>
  </w:num>
  <w:num w:numId="28" w16cid:durableId="1048990096">
    <w:abstractNumId w:val="13"/>
  </w:num>
  <w:num w:numId="29" w16cid:durableId="2091075046">
    <w:abstractNumId w:val="26"/>
  </w:num>
  <w:num w:numId="30" w16cid:durableId="469827929">
    <w:abstractNumId w:val="5"/>
  </w:num>
  <w:num w:numId="31" w16cid:durableId="678586570">
    <w:abstractNumId w:val="15"/>
  </w:num>
  <w:num w:numId="32" w16cid:durableId="1327317865">
    <w:abstractNumId w:val="21"/>
  </w:num>
  <w:num w:numId="33" w16cid:durableId="1386029158">
    <w:abstractNumId w:val="3"/>
  </w:num>
  <w:num w:numId="34" w16cid:durableId="560604490">
    <w:abstractNumId w:val="14"/>
  </w:num>
  <w:num w:numId="35" w16cid:durableId="569001356">
    <w:abstractNumId w:val="7"/>
  </w:num>
  <w:num w:numId="36" w16cid:durableId="8812119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A2251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069C8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6065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CF72"/>
  <w15:docId w15:val="{019B813E-CA4B-4CB9-A773-CE3A5470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Zuzanna Zbróg</cp:lastModifiedBy>
  <cp:revision>10</cp:revision>
  <cp:lastPrinted>2025-10-28T07:51:00Z</cp:lastPrinted>
  <dcterms:created xsi:type="dcterms:W3CDTF">2025-12-11T11:01:00Z</dcterms:created>
  <dcterms:modified xsi:type="dcterms:W3CDTF">2026-07-05T19:51:00Z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