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KARTA PRZEDMIOTU</w:t>
      </w:r>
    </w:p>
    <w:p>
      <w:pPr>
        <w:pStyle w:val="Normal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9"/>
        <w:gridCol w:w="1701"/>
        <w:gridCol w:w="5387"/>
      </w:tblGrid>
      <w:tr>
        <w:trPr>
          <w:trHeight w:val="284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0388.3.PED2.F.MR</w:t>
            </w:r>
          </w:p>
        </w:tc>
      </w:tr>
      <w:tr>
        <w:trPr>
          <w:trHeight w:val="284" w:hRule="atLeast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Nazwa przedmiotu w języku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Mediacje rodzinne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Family mediation</w:t>
            </w:r>
          </w:p>
        </w:tc>
      </w:tr>
      <w:tr>
        <w:trPr>
          <w:trHeight w:val="224" w:hRule="atLeast"/>
        </w:trPr>
        <w:tc>
          <w:tcPr>
            <w:tcW w:w="2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5386"/>
      </w:tblGrid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Pedagogika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Drugiego stopnia - magisterskie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Ogólnoakademicki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Dr Monika Wojtkowiak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mwojtkowiak@ujk.edu.pl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5386"/>
      </w:tblGrid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polski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brak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1765"/>
        <w:gridCol w:w="6456"/>
      </w:tblGrid>
      <w:tr>
        <w:trPr>
          <w:trHeight w:val="284" w:hRule="atLeast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ćwiczenia</w:t>
            </w:r>
          </w:p>
        </w:tc>
      </w:tr>
      <w:tr>
        <w:trPr>
          <w:trHeight w:val="284" w:hRule="atLeast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1"/>
              <w:widowControl w:val="false"/>
              <w:shd w:val="clear" w:color="auto" w:fill="auto"/>
              <w:spacing w:lineRule="auto" w:line="240" w:before="0" w:after="0"/>
              <w:ind w:hanging="0"/>
              <w:jc w:val="left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 xml:space="preserve">Pomieszczenia dydaktyczne UJK , </w:t>
            </w:r>
            <w:r>
              <w:rPr>
                <w:sz w:val="20"/>
                <w:szCs w:val="20"/>
                <w:lang w:val="pl-PL" w:eastAsia="pl-PL"/>
              </w:rPr>
              <w:t>instytucje związane z realizacją zadań mediacji</w:t>
            </w:r>
          </w:p>
        </w:tc>
      </w:tr>
      <w:tr>
        <w:trPr>
          <w:trHeight w:val="284" w:hRule="atLeast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Zaliczenie z oceną</w:t>
            </w:r>
          </w:p>
        </w:tc>
      </w:tr>
      <w:tr>
        <w:trPr>
          <w:trHeight w:val="284" w:hRule="atLeast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 odgrywanie ról, metody dramy stosowanej, studium przypadków, praca grupowa, prezentacja materiałów multimedialnych</w:t>
            </w:r>
          </w:p>
        </w:tc>
      </w:tr>
      <w:tr>
        <w:trPr>
          <w:trHeight w:val="284" w:hRule="atLeas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1.Czarnecka. B, Wójcik D.(red) „Mediacja. Nieletni przestępcy i ich ofiary”, Warszawa 1999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Gójska A, Mediacje rodzinne, Warszawa 2014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2.Przybyła H., Cybulski T,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(1997)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„Praktyka mediacji w rodzinnych ośrodkach diagnostyczno-konsultacyjnych</w:t>
            </w:r>
            <w:r>
              <w:rPr>
                <w:rFonts w:eastAsia="Arial Unicode MS" w:cs="Times New Roman" w:ascii="Times New Roman" w:hAnsi="Times New Roman"/>
                <w:color w:val="auto"/>
                <w:sz w:val="20"/>
                <w:szCs w:val="20"/>
                <w:lang w:val="pl-PL" w:eastAsia="pl-PL"/>
              </w:rPr>
              <w:t xml:space="preserve">”w: Wybrane obszary praktyki biegłego sądowego psychologa, red. J.M. Stanik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3.Tusznio S., Wojtkowiak M., „Mediacje i negocjacje jako formy rozwiązywania konfliktu”, Kielce 2004</w:t>
            </w:r>
          </w:p>
        </w:tc>
      </w:tr>
      <w:tr>
        <w:trPr>
          <w:trHeight w:val="284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1.Larsson L.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(2009)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Porozumienie bez przemocy w mediacjach. Jak być trzecią stroną w konflikcie</w:t>
            </w:r>
          </w:p>
          <w:p>
            <w:pPr>
              <w:pStyle w:val="Nagwek1"/>
              <w:widowControl w:val="false"/>
              <w:shd w:val="clear" w:color="auto" w:fill="FFFFFF"/>
              <w:spacing w:beforeAutospacing="0" w:before="0" w:afterAutospacing="0" w:after="0"/>
              <w:rPr>
                <w:rFonts w:eastAsia="Arial Unicode MS"/>
                <w:b w:val="false"/>
                <w:bCs w:val="false"/>
                <w:kern w:val="0"/>
                <w:sz w:val="20"/>
                <w:szCs w:val="20"/>
                <w:lang w:val="pl-PL"/>
              </w:rPr>
            </w:pPr>
            <w:r>
              <w:rPr>
                <w:rFonts w:eastAsia="Arial Unicode MS"/>
                <w:b w:val="false"/>
                <w:bCs w:val="false"/>
                <w:kern w:val="0"/>
                <w:sz w:val="20"/>
                <w:szCs w:val="20"/>
                <w:lang w:val="pl-PL"/>
              </w:rPr>
              <w:t>2.Łukasiewicz J.</w:t>
            </w:r>
            <w:r>
              <w:rPr>
                <w:rFonts w:eastAsia="Arial Unicode MS"/>
                <w:b w:val="false"/>
                <w:bCs w:val="false"/>
                <w:kern w:val="0"/>
                <w:sz w:val="20"/>
                <w:szCs w:val="20"/>
                <w:lang w:val="pl-PL"/>
              </w:rPr>
              <w:t>(2014)</w:t>
            </w:r>
            <w:r>
              <w:rPr>
                <w:rFonts w:eastAsia="Arial Unicode MS"/>
                <w:b w:val="false"/>
                <w:bCs w:val="false"/>
                <w:kern w:val="0"/>
                <w:sz w:val="20"/>
                <w:szCs w:val="20"/>
                <w:lang w:val="pl-PL"/>
              </w:rPr>
              <w:t xml:space="preserve">, Zarys metodyki pracy mediatora w sprawach cywilnych, Warszawa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1"/>
      </w:tblGrid>
      <w:tr>
        <w:trPr>
          <w:trHeight w:val="907" w:hRule="atLeast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C-1- Zdobycie przez studentów wiedzy z zakresu technik mediacyjnych. Zaznajomienie z problematyką mediacji w porównaniu do arbitrażu.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C-2- Rozwijanie umiejętności potrzebnych do niwelowania konfliktów i wykorzystania procedury mediacji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C-3- Przygotowanie do wprowadzania innowacji w pracy opiekuńczo-terapeutycznej i postawy otwartości na ciekawe, optymalne rozwiązania, uwrażliwienie na potrzebę mediacji i korzyści jakie ze sobą niesie postępowanie mediacyjne.</w:t>
            </w:r>
          </w:p>
        </w:tc>
      </w:tr>
      <w:tr>
        <w:trPr>
          <w:trHeight w:val="907" w:hRule="atLeast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1. Zapoznania z kartą przedmiotu i warunkami zaliczenia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2. Mediacja na świecie i w Polsce- wprowadzenie w problematykę przedmiotu.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3. Cele, cechy i etapy mediacji jako procesu i formy pomocy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4. Rozwód jako sytuacja trudna - formy pomocy. Zaznajomienie studentów z rolą mediacji w prawie rodzinnym.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5.Mediacja jako forma rozwiązywania konfliktu- strategie i taktyki postępowania</w:t>
            </w:r>
          </w:p>
          <w:p>
            <w:pPr>
              <w:pStyle w:val="Normal"/>
              <w:widowControl w:val="false"/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6. Wykorzystanie procesu mediacji w polskim prawie rodzinnym i na świecie.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94"/>
        <w:gridCol w:w="7358"/>
        <w:gridCol w:w="1629"/>
      </w:tblGrid>
      <w:tr>
        <w:trPr>
          <w:trHeight w:val="284" w:hRule="atLeast"/>
          <w:cantSplit w:val="true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>
        <w:trPr>
          <w:trHeight w:val="284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WIEDZY zna i rozumie:</w:t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kierunki rozwoju współczesnej pedagogiki, a także potrzebę wprowadzania innowacji takich jak mediacje jako odpowiedź na zmieniające się warunki społeczne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PED2A_W03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charakterystykę różnych środowiska rodzinnego, jego specyfikę i procesy w nim zachodzące, zwłaszcza w kontekście konfliktu i sposobów zaradzenia mu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87" w:leader="none"/>
              </w:tabs>
              <w:spacing w:lineRule="auto" w:line="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PED2A_W16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porozumiewać się przy użyciu różnych kanałów i technik komunikacyjnych ze specjalistami w zakresie pedagogiki, jak i z odbiorcami spoza grona specjalistów, korzystać z komunikacji jako narzędzia wprowadzania zmian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PED2A_U08</w:t>
            </w:r>
          </w:p>
        </w:tc>
      </w:tr>
      <w:tr>
        <w:trPr>
          <w:trHeight w:val="284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docenić znaczenie nauk pedagogicznych dla rozwoju jednostki i prawidłowych więzi w środowiskach społecznych, chętnie rozwija warsztat pracy pedagoga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87" w:leader="none"/>
              </w:tabs>
              <w:spacing w:lineRule="auto" w:line="27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PED2A_K03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docenić konieczność dostrzegania problemów moralnych i dylematów etycznych związanych z pracą mediatora; poszukiwania optymalnych rozwiązań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PED2A_K10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833"/>
        <w:gridCol w:w="709"/>
        <w:gridCol w:w="567"/>
        <w:gridCol w:w="566"/>
        <w:gridCol w:w="708"/>
        <w:gridCol w:w="427"/>
        <w:gridCol w:w="566"/>
        <w:gridCol w:w="708"/>
        <w:gridCol w:w="591"/>
        <w:gridCol w:w="544"/>
        <w:gridCol w:w="566"/>
        <w:gridCol w:w="567"/>
      </w:tblGrid>
      <w:tr>
        <w:trPr>
          <w:trHeight w:val="284" w:hRule="atLeast"/>
        </w:trPr>
        <w:tc>
          <w:tcPr>
            <w:tcW w:w="9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>
        <w:trPr>
          <w:trHeight w:val="284" w:hRule="atLeast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Efekty przedmiotowe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3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>
        <w:trPr>
          <w:trHeight w:val="284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>
              <w:rPr>
                <w:rFonts w:cs="Times New Roman" w:ascii="Times New Roman" w:hAnsi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>
        <w:trPr>
          <w:trHeight w:val="284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677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>
        <w:trPr>
          <w:trHeight w:val="284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6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6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91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44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6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...</w:t>
            </w:r>
          </w:p>
        </w:tc>
      </w:tr>
      <w:tr>
        <w:trPr>
          <w:trHeight w:val="284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91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Bodytext31"/>
        <w:shd w:val="clear" w:color="auto" w:fill="auto"/>
        <w:tabs>
          <w:tab w:val="clear" w:pos="708"/>
          <w:tab w:val="left" w:pos="655" w:leader="none"/>
        </w:tabs>
        <w:spacing w:lineRule="auto" w:line="240" w:before="60" w:after="0"/>
        <w:ind w:right="23" w:hanging="0"/>
        <w:rPr>
          <w:b/>
          <w:sz w:val="20"/>
          <w:szCs w:val="20"/>
        </w:rPr>
      </w:pPr>
      <w:r>
        <w:rPr>
          <w:b/>
          <w:sz w:val="20"/>
          <w:szCs w:val="20"/>
        </w:rPr>
        <w:t>*niepotrzebne usunąć</w:t>
      </w:r>
    </w:p>
    <w:p>
      <w:pPr>
        <w:pStyle w:val="Normal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92"/>
        <w:gridCol w:w="720"/>
        <w:gridCol w:w="8269"/>
      </w:tblGrid>
      <w:tr>
        <w:trPr>
          <w:trHeight w:val="284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>
        <w:trPr>
          <w:trHeight w:val="284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>
        <w:trPr>
          <w:trHeight w:val="255" w:hRule="atLeast"/>
          <w:cantSplit w:val="true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Uzyskanie punktów za aktywność na zajęciach oraz pracę grupową na poziomie od 50%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Uzyskanie punktów za aktywność na zajęciach oraz pracę grupową na poziomie od 61%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Uzyskanie punktów za aktywność na zajęciach oraz pracę grupową na poziomie od 71%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Uzyskanie punktów za aktywność na zajęciach oraz pracę grupową na poziomie od 81%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Uzyskanie punktów za aktywność na zajęciach oraz pracę grupową na poziomie 91%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9"/>
        <w:gridCol w:w="1476"/>
        <w:gridCol w:w="1476"/>
      </w:tblGrid>
      <w:tr>
        <w:trPr>
          <w:trHeight w:val="284" w:hRule="atLeast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>
        <w:trPr>
          <w:trHeight w:val="284" w:hRule="atLeast"/>
        </w:trPr>
        <w:tc>
          <w:tcPr>
            <w:tcW w:w="6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4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>
      <w:pPr>
        <w:pStyle w:val="Bodytext31"/>
        <w:shd w:val="clear" w:color="auto" w:fill="auto"/>
        <w:tabs>
          <w:tab w:val="clear" w:pos="708"/>
          <w:tab w:val="left" w:pos="655" w:leader="none"/>
        </w:tabs>
        <w:spacing w:lineRule="auto" w:line="240" w:before="60" w:after="0"/>
        <w:ind w:right="23" w:hanging="0"/>
        <w:rPr>
          <w:b/>
          <w:sz w:val="20"/>
          <w:szCs w:val="20"/>
        </w:rPr>
      </w:pPr>
      <w:r>
        <w:rPr>
          <w:b/>
          <w:sz w:val="20"/>
          <w:szCs w:val="20"/>
        </w:rPr>
        <w:t>*niepotrzebne usunąć</w:t>
      </w:r>
    </w:p>
    <w:p>
      <w:pPr>
        <w:pStyle w:val="Bodytext31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31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sz w:val="20"/>
          <w:szCs w:val="20"/>
        </w:rPr>
      </w:pPr>
      <w:r>
        <w:rPr>
          <w:b/>
          <w:sz w:val="20"/>
          <w:szCs w:val="20"/>
        </w:rPr>
        <w:t>Przyjmuję do realizacji</w:t>
      </w:r>
      <w:r>
        <w:rPr>
          <w:sz w:val="20"/>
          <w:szCs w:val="20"/>
        </w:rPr>
        <w:t xml:space="preserve">    (data i czytelne  podpisy osób prowadzących przedmiot w danym roku akademickim)</w:t>
      </w:r>
    </w:p>
    <w:p>
      <w:pPr>
        <w:pStyle w:val="Bodytext31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31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31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right="20" w:hanging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 xml:space="preserve">             ............................................................................................................................</w:t>
      </w:r>
    </w:p>
    <w:sectPr>
      <w:type w:val="nextPage"/>
      <w:pgSz w:w="11906" w:h="16838"/>
      <w:pgMar w:left="1418" w:right="510" w:gutter="0" w:header="0" w:top="510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1d7b"/>
    <w:pPr>
      <w:widowControl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017d10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  <w:lang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3" w:customStyle="1">
    <w:name w:val="Body text (3)_"/>
    <w:link w:val="Bodytext31"/>
    <w:qFormat/>
    <w:rsid w:val="00661d7b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Nagwek1Znak" w:customStyle="1">
    <w:name w:val="Nagłówek 1 Znak"/>
    <w:basedOn w:val="DefaultParagraphFont"/>
    <w:uiPriority w:val="9"/>
    <w:qFormat/>
    <w:rsid w:val="00017d10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1" w:customStyle="1">
    <w:name w:val="Body text (3)"/>
    <w:basedOn w:val="Normal"/>
    <w:link w:val="Bodytext3"/>
    <w:qFormat/>
    <w:rsid w:val="00661d7b"/>
    <w:pPr>
      <w:shd w:val="clear" w:color="auto" w:fill="FFFFFF"/>
      <w:spacing w:lineRule="exact" w:line="293" w:before="120" w:after="0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pl-PL" w:eastAsia="en-US"/>
    </w:rPr>
  </w:style>
  <w:style w:type="paragraph" w:styleId="NormalWeb">
    <w:name w:val="Normal (Web)"/>
    <w:basedOn w:val="Normal"/>
    <w:uiPriority w:val="99"/>
    <w:unhideWhenUsed/>
    <w:qFormat/>
    <w:rsid w:val="00661d7b"/>
    <w:pPr>
      <w:spacing w:beforeAutospacing="1" w:afterAutospacing="1"/>
    </w:pPr>
    <w:rPr>
      <w:rFonts w:ascii="Times New Roman" w:hAnsi="Times New Roman" w:eastAsia="Calibri" w:cs="Times New Roman"/>
      <w:color w:val="auto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2</Pages>
  <Words>692</Words>
  <Characters>4626</Characters>
  <CharactersWithSpaces>5210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2023-02-04T15:51:00Z</dcterms:created>
  <dc:creator>Rec</dc:creator>
  <dc:description/>
  <dc:language>pl-PL</dc:language>
  <cp:lastModifiedBy/>
  <cp:lastPrinted>2019-12-04T12:55:00Z</cp:lastPrinted>
  <dcterms:modified xsi:type="dcterms:W3CDTF">2024-03-08T05:36:30Z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