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6889" w:hanging="6889"/>
        <w:jc w:val="right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iCs/>
          <w:color w:val="000000" w:themeColor="text1"/>
          <w:sz w:val="24"/>
          <w:szCs w:val="24"/>
        </w:rPr>
      </w:r>
    </w:p>
    <w:p>
      <w:pPr>
        <w:pStyle w:val="Nagwek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PRZEDMIOTU (ZAJĘĆ)</w:t>
      </w:r>
    </w:p>
    <w:p>
      <w:pPr>
        <w:pStyle w:val="Tretekstu"/>
        <w:tabs>
          <w:tab w:val="clear" w:pos="720"/>
          <w:tab w:val="left" w:pos="10065" w:leader="dot"/>
        </w:tabs>
        <w:spacing w:lineRule="auto" w:line="276" w:before="240" w:after="240"/>
        <w:ind w:left="425" w:hanging="0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eastAsia="宋体"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  <w:lang w:val="pl-PL" w:eastAsia="pl-PL" w:bidi="pl-PL"/>
        </w:rPr>
        <w:t xml:space="preserve"> </w:t>
      </w:r>
      <w:r>
        <w:rPr>
          <w:rFonts w:eastAsia="宋体" w:cs="" w:ascii="Calibri" w:hAnsi="Calibri"/>
          <w:b/>
          <w:bCs/>
          <w:i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0388.3.PED1.F.TUS </w:t>
      </w:r>
    </w:p>
    <w:p>
      <w:pPr>
        <w:pStyle w:val="Nagwek3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b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 xml:space="preserve">(zajęć) </w:t>
      </w:r>
      <w:bookmarkEnd w:id="0"/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w języku polski</w:t>
      </w:r>
      <w:r>
        <w:rPr>
          <w:rFonts w:eastAsia="宋体" w:cs="" w:ascii="Calibri" w:hAnsi="Calibri"/>
          <w:b/>
          <w:bCs/>
          <w:i w:val="false"/>
          <w:iCs/>
          <w:color w:val="000000" w:themeColor="text1"/>
          <w:sz w:val="24"/>
          <w:szCs w:val="24"/>
          <w:lang w:val="pl-PL" w:eastAsia="pl-PL" w:bidi="pl-PL"/>
        </w:rPr>
        <w:t>m: Trening umiejętności społecznych</w:t>
      </w:r>
    </w:p>
    <w:p>
      <w:pPr>
        <w:pStyle w:val="Styl1"/>
        <w:spacing w:lineRule="auto" w:line="276"/>
        <w:ind w:firstLine="426"/>
        <w:rPr>
          <w:rFonts w:ascii="Calibri" w:hAnsi="Calibri" w:eastAsia="宋体" w:cs=""/>
          <w:b/>
          <w:bCs/>
          <w:i w:val="false"/>
          <w:i w:val="false"/>
          <w:iCs/>
          <w:color w:val="000000" w:themeColor="text1"/>
          <w:sz w:val="24"/>
          <w:szCs w:val="24"/>
          <w:lang w:val="pl-PL" w:eastAsia="pl-PL" w:bidi="pl-PL"/>
        </w:rPr>
      </w:pPr>
      <w:r>
        <w:rPr>
          <w:rFonts w:eastAsia="宋体" w:cs=""/>
          <w:b/>
          <w:bCs/>
          <w:i w:val="false"/>
          <w:iCs/>
          <w:color w:val="000000" w:themeColor="text1"/>
          <w:sz w:val="24"/>
          <w:szCs w:val="24"/>
          <w:lang w:val="pl-PL" w:eastAsia="pl-PL" w:bidi="pl-PL"/>
        </w:rPr>
        <w:t xml:space="preserve">Nazwa przedmiotu (zajęć) w języku angielskim: </w:t>
      </w:r>
      <w:r>
        <w:rPr>
          <w:rFonts w:eastAsia="宋体" w:cs=""/>
          <w:b/>
          <w:bCs/>
          <w:i w:val="false"/>
          <w:iCs/>
          <w:color w:val="000000" w:themeColor="text1"/>
          <w:kern w:val="0"/>
          <w:sz w:val="24"/>
          <w:szCs w:val="24"/>
          <w:lang w:val="pl-PL" w:eastAsia="pl-PL" w:bidi="pl-PL"/>
        </w:rPr>
        <w:t>Social-skills training</w:t>
      </w:r>
    </w:p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741"/>
        <w:gridCol w:w="5005"/>
      </w:tblGrid>
      <w:tr>
        <w:trPr>
          <w:trHeight w:val="282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</w:rPr>
              <w:t>Pedagogika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 w:themeColor="text1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 xml:space="preserve">Pierwszego stopnia - licencjackie 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Monika Wojtkowiak</w:t>
            </w:r>
          </w:p>
        </w:tc>
      </w:tr>
      <w:tr>
        <w:trPr>
          <w:trHeight w:val="28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5"/>
              </w:numPr>
              <w:suppressAutoHyphens w:val="true"/>
              <w:spacing w:lineRule="auto" w:line="276" w:before="0" w:after="0"/>
              <w:ind w:left="555" w:hanging="425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Cs/>
                <w:color w:val="000000" w:themeColor="text1"/>
                <w:kern w:val="0"/>
                <w:sz w:val="24"/>
                <w:szCs w:val="24"/>
                <w:lang w:val="pl-PL" w:eastAsia="pl-PL" w:bidi="pl-PL"/>
              </w:rPr>
              <w:t>mwojtkowiak@ujk.edu.pl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67"/>
        <w:gridCol w:w="6279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left="487" w:hanging="357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08" w:right="183" w:hanging="0"/>
              <w:jc w:val="left"/>
              <w:rPr>
                <w:rFonts w:ascii="Calibri" w:hAnsi="Calibri" w:eastAsia="Times New Roman" w:cs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Podstawowa wiedza i umiejętności z zakresu pedagogiki ogólnej, socjologii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66"/>
        <w:gridCol w:w="6279"/>
      </w:tblGrid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eastAsia="Times New Roman" w:cs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31" w:hanging="0"/>
              <w:jc w:val="left"/>
              <w:rPr>
                <w:rFonts w:ascii="Calibri" w:hAnsi="Calibri" w:eastAsia="Times New Roman" w:cs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wykłady/ćwiczenia</w:t>
            </w:r>
          </w:p>
        </w:tc>
      </w:tr>
      <w:tr>
        <w:trPr>
          <w:trHeight w:val="282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183" w:hanging="0"/>
              <w:jc w:val="left"/>
              <w:rPr>
                <w:rFonts w:ascii="Calibri" w:hAnsi="Calibri"/>
              </w:rPr>
            </w:pPr>
            <w:r>
              <w:rPr>
                <w:rFonts w:eastAsia="Times New Roman"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Pomieszczenia dydaktyczne UJK 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183" w:hanging="0"/>
              <w:jc w:val="left"/>
              <w:rPr>
                <w:rFonts w:ascii="Calibri" w:hAnsi="Calibri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zaliczenie z oceną</w:t>
            </w:r>
          </w:p>
        </w:tc>
      </w:tr>
      <w:tr>
        <w:trPr>
          <w:trHeight w:val="282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left="489" w:hanging="36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Web"/>
              <w:widowControl w:val="false"/>
              <w:spacing w:before="0" w:after="0"/>
              <w:rPr>
                <w:rFonts w:ascii="Calibri" w:hAnsi="Calibri" w:eastAsia="Times New Roman" w:cs="Times New Roman"/>
                <w:color w:val="000000"/>
                <w:kern w:val="0"/>
                <w:sz w:val="20"/>
                <w:szCs w:val="20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0"/>
                <w:szCs w:val="20"/>
                <w:lang w:val="pl-PL" w:eastAsia="pl-PL" w:bidi="pl-PL"/>
              </w:rPr>
              <w:t xml:space="preserve">Wykład: wykład informacyjny (WI) , prezentacja materiałów multimedialnych </w:t>
            </w:r>
          </w:p>
          <w:p>
            <w:pPr>
              <w:pStyle w:val="NormalnyWeb"/>
              <w:widowControl w:val="false"/>
              <w:spacing w:before="0" w:after="0"/>
              <w:rPr>
                <w:rFonts w:ascii="Calibri" w:hAnsi="Calibri" w:eastAsia="Times New Roman" w:cs="Times New Roman"/>
                <w:color w:val="000000"/>
                <w:kern w:val="0"/>
                <w:sz w:val="20"/>
                <w:szCs w:val="20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0"/>
                <w:szCs w:val="20"/>
                <w:lang w:val="pl-PL" w:eastAsia="pl-PL" w:bidi="pl-PL"/>
              </w:rPr>
              <w:t>Ćwiczenia: studium przypadków, wykorzystanie metod dramy, praca warsztatowa, praca grupowa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72" w:hanging="142"/>
              <w:jc w:val="left"/>
              <w:rPr>
                <w:rFonts w:ascii="Calibri" w:hAnsi="Calibri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20"/>
                <w:szCs w:val="20"/>
                <w:lang w:val="pl-PL" w:eastAsia="pl-PL" w:bidi="pl-PL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Bandach, M. (2013). Trening umiejętności społecznych jako forma podnoszenia kompetencji społecznych.  Ekonomia i Zarządzanie 5.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Braz, A. C., Del Prette, Z. A., &amp; Del Prette, A. (2011). Assertive social skills training for the elderly. Psicología Conductual, 19(2), 373.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Edukacja osób starszych (2013). Warszawa: Stowarzyszenie Trenerów Organizacji Pozarządowych.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Granholm, E., McQuaid, J. R., McClure, F. S., Auslander, L. A., Perivoliotis, D., Pedrelli, P. i Jeste, D. V. (2005). A randomized, controlled trial of cognitive behavioral social skills training for middle-aged and older outpatients with chronic schizophrenia. American Journal of Psychiatry, 162(3), 520-529.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Knopp, K.A. Kompetencje społeczne- pomiar i aplikacja praktyczna. Warszawa: ORE.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Martowska, K. (2012). Psychologiczne uwarunkowania kompetencji społecznych. Liberi Libri.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Tomorowicz, A. (2011). Struktura kompetencji społecznych w ujęciu interakcyjnym. Psychiatria, 8(3), 91-96.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Wojciszke, B. (2011). Psychologia społeczna. Warszawa: Scholar.</w:t>
            </w:r>
          </w:p>
        </w:tc>
      </w:tr>
      <w:tr>
        <w:trPr>
          <w:trHeight w:val="285" w:hRule="atLeast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272" w:hanging="142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Cechnicki, A. (2009). W stronę psychoterapeutycznie zorientowanej psychiatrii środowiskowej–30 lat doświadczeń krakowskich. Psychoterapia, 3(150), 43-55.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Dobrzyńska, E., Więcko, R., Cesarz, H., Rymaszewska, J., &amp; Kiejna, A. (2006). Muzykoterapia i terapia poznawczo-behawioralna u osób starszych z rozpoznaniem depresji. Psychogeriatria Polska, 3(2), 105-112.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Kędziora-Kornatowska, K. i Grzanka-Tykwińska, A. (2011). Osoby starsze w społeczeństwie informacyjnym. Gerontologia Polska, 19(2), 107-111.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Kopelowicz, A., Liberman, R. P., &amp; Zarate, R. (2006). Recent advances in social skills training for schizophrenia. Schizophrenia bulletin, 32(suppl 1), S12-S23.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Lapierre, S., Erlangsen, A., Waern, M., De Leo, D., Oyama, H., Scocco, P.i Quinnett, P. (2011). A systematic review of elderly suicide prevention programs. Crisis.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 xml:space="preserve">Metody pomocy osobom starszym. Metody pracy z seniorami. (2012). Regionalny Ośrodek Polityki Społecznej. Kraków. 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Międzynarodowa Statystyczna Klasyfikacja Chorób i Problemów Zdrowotnych ICD 10.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Nason,B. (2014). Porozmawiajmy o autyzmie. Przewodnik dla rodziców i specjalistów. Kraków: wydawnictwo UJ.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Szczepańska, J., Kowalska, A., Rychlik, M., Dorabiała, A., &amp; Greń, G. (2007). Elementy psychoterapii w procesie usprawniania pacjentów geriatrycznego oddziału rehabilitacyjnego. Psychogeriatria Polska, 4(3), 149-158.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Zając-Lamparska, L. (2014). Wspomaganie funkcjonowania ludzi starzejących się.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Strony internetowe: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http://www.psychiatria.pl/artykul/zaburzenia-psychiczne-w-wieku-podeszlym/546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http://www.przystanek-przedszkolak.pl/baza_wiedzy/trening_umiejetnosci_spolecznych_goldsteina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http://sim.drama.org.pl/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color w:val="000000"/>
                <w:kern w:val="0"/>
                <w:sz w:val="21"/>
                <w:szCs w:val="21"/>
                <w:lang w:val="pl-PL" w:eastAsia="pl-PL" w:bidi="pl-PL"/>
              </w:rPr>
              <w:t>https://www.mpips.gov.pl/seniorzyaktywne-starzenie/rzadowy-program-asos/</w:t>
            </w:r>
          </w:p>
          <w:p>
            <w:pPr>
              <w:pStyle w:val="Normal"/>
              <w:widowControl w:val="false"/>
              <w:rPr/>
            </w:pPr>
            <w:hyperlink r:id="rId2">
              <w:r>
                <w:rPr>
                  <w:rStyle w:val="Czeinternetowe"/>
                  <w:rFonts w:eastAsia="Times New Roman" w:cs="Times New Roman" w:ascii="Calibri" w:hAnsi="Calibri"/>
                  <w:color w:val="000000"/>
                  <w:kern w:val="0"/>
                  <w:sz w:val="21"/>
                  <w:szCs w:val="21"/>
                  <w:lang w:val="pl-PL" w:eastAsia="pl-PL" w:bidi="pl-PL"/>
                </w:rPr>
                <w:t>http://lokalnepartnerstwa.org.pl/file/fm/BIBLIOTEKA/manuale/Aktywizacja_spoleczna_osob_starszych.pdf</w:t>
              </w:r>
            </w:hyperlink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1134" w:hanging="0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Wykład</w:t>
      </w:r>
    </w:p>
    <w:p>
      <w:pPr>
        <w:pStyle w:val="Normal"/>
        <w:numPr>
          <w:ilvl w:val="0"/>
          <w:numId w:val="0"/>
        </w:numPr>
        <w:ind w:left="360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C1.  </w:t>
      </w:r>
      <w:r>
        <w:rPr>
          <w:rFonts w:eastAsia="Times New Roman" w:cs="Times New Roman" w:ascii="Calibri" w:hAnsi="Calibr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Zapoznanie słuchaczy z istniejącymi w literaturze klasyfikacjami umiejętności społecznych oraz trudnościami definicyjnymi.</w:t>
      </w:r>
    </w:p>
    <w:p>
      <w:pPr>
        <w:pStyle w:val="Normal"/>
        <w:numPr>
          <w:ilvl w:val="0"/>
          <w:numId w:val="0"/>
        </w:numPr>
        <w:ind w:left="360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C2. </w:t>
      </w:r>
      <w:r>
        <w:rPr>
          <w:rFonts w:eastAsia="Times New Roman" w:cs="Times New Roman" w:ascii="Calibri" w:hAnsi="Calibr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Poznanie podstawowych procesów grupowych z perspektywy psychologii społecznej</w:t>
      </w:r>
    </w:p>
    <w:p>
      <w:pPr>
        <w:pStyle w:val="Normal"/>
        <w:numPr>
          <w:ilvl w:val="0"/>
          <w:numId w:val="0"/>
        </w:numPr>
        <w:ind w:left="360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C3. </w:t>
      </w:r>
      <w:r>
        <w:rPr>
          <w:rFonts w:eastAsia="Times New Roman" w:cs="Times New Roman" w:ascii="Calibri" w:hAnsi="Calibr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Poznanie specyfiki prowadzenia treningu umiejętności społecznych w różnych grupach docelowych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1134" w:hanging="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Ćwiczenia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567" w:hanging="0"/>
        <w:rPr>
          <w:sz w:val="24"/>
          <w:szCs w:val="24"/>
        </w:rPr>
      </w:pP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C1.  Rozwijanie zdolności komunikacyjnych studentów, doskonalenie umiejętności prowadzenia rozmowy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567" w:hanging="0"/>
        <w:rPr>
          <w:sz w:val="24"/>
          <w:szCs w:val="24"/>
        </w:rPr>
      </w:pP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C2.  Wskazanie potrzeb osób starszych oraz przewidywania problemów w zakresie funkcjonowania społecznego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left="567" w:hanging="0"/>
        <w:rPr>
          <w:sz w:val="24"/>
          <w:szCs w:val="24"/>
        </w:rPr>
      </w:pPr>
      <w:r>
        <w:rPr>
          <w:rFonts w:eastAsia="Times New Roman" w:cs="Times New Roman" w:ascii="Calibri" w:hAnsi="Calibri" w:asciiTheme="minorHAnsi" w:hAnsiTheme="minorHAnsi"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C3. Umiejętność krytycznej analizy istniejących programów TUS z uwzględnieniem potrzeb i ograniczeń osób starszych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>
      <w:pPr>
        <w:pStyle w:val="Normal"/>
        <w:ind w:left="498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b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Wykład:</w:t>
      </w:r>
    </w:p>
    <w:p>
      <w:pPr>
        <w:pStyle w:val="Normal"/>
        <w:ind w:left="498" w:hanging="0"/>
        <w:rPr>
          <w:sz w:val="24"/>
          <w:szCs w:val="24"/>
        </w:rPr>
      </w:pPr>
      <w:r>
        <w:rPr>
          <w:rFonts w:eastAsia="Times New Roman" w:cs="Calibri" w:ascii="Calibri" w:hAnsi="Calibri" w:cstheme="minorHAnsi"/>
          <w:b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 xml:space="preserve">1. </w:t>
      </w:r>
      <w:r>
        <w:rPr>
          <w:rFonts w:eastAsia="Times New Roman" w:cs="Times New Roman"/>
          <w:b/>
          <w:bCs/>
          <w:iCs/>
          <w:color w:val="000000" w:themeColor="text1"/>
          <w:kern w:val="0"/>
          <w:sz w:val="24"/>
          <w:szCs w:val="24"/>
          <w:lang w:val="pl-PL" w:eastAsia="pl-PL" w:bidi="pl-PL"/>
        </w:rPr>
        <w:t>Definicje oraz podziały umiejętności społecznych. Wprowadzenie w problematykę treningu umiejętności społecznych.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Procesy grupowe. Podstawowe pojęcia z zakresu psychologii społecznej.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Specyfika procesu starzenia. Podstawowe potrzeby seniorów oraz ograniczenia tej grupy w kontekście psychologicznym i fizycznym.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Ocena poziomu kompetencji społecznych – wprowadzenie w metody ewaluacji.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Zasady prowadzenia treningu umiejętności społecznych- charakterystyka grup docelowych, prowadzących, liczebności grupy oraz sposobu układania zadań.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Formy prowadzenia treningu umiejętności społecznych- odniesienie do aktywizacji społecznej, treningu czystości, treningu zarządzania budżetem itd.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 xml:space="preserve">Konkretne umiejętności rozwijane podczas TUS. Wprowadzenie pojęcia skuteczności interpersonalnej. 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Sposoby tworzenia zadań z zakresu rozwijania percepcji społecznej odbiorców. Trening analizy zjawisk społecznych.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Umiejętności komunikacyjne- wprowadzenie w zasady efektywnej komunikacji interpersonalnej, asertywności.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 xml:space="preserve">Aktywizacja behawioralna- uwarunkowania, sposoby wprowadzania. 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Specyfika działań z zakresu TUS u seniorów.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 xml:space="preserve">Zaburzenia psychiczne najczęściej występujące u seniorów i ich wpływ na funkcjonowanie społeczne. 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Specyfika TUS u pacjentów cierpiących na otępienia, depresję oraz schizofrenię. Specyfika TUS w innych zaburzeniach psychicznych.</w:t>
      </w:r>
    </w:p>
    <w:p>
      <w:pPr>
        <w:pStyle w:val="Normal"/>
        <w:numPr>
          <w:ilvl w:val="0"/>
          <w:numId w:val="6"/>
        </w:numPr>
        <w:ind w:left="359" w:hanging="360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Modele stresu. Podstawowe techniki radzenia sobie ze stresem. Wprowadzenie w tematykę wypalenia zawodowego u specjalistów pracujących z osobami w podeszłym wieku</w:t>
      </w:r>
      <w:r>
        <w:rPr>
          <w:rFonts w:cs="Times New Roman"/>
          <w:iCs/>
          <w:color w:val="000000"/>
          <w:sz w:val="24"/>
          <w:szCs w:val="24"/>
        </w:rPr>
        <w:t xml:space="preserve">. </w:t>
      </w:r>
    </w:p>
    <w:p>
      <w:pPr>
        <w:pStyle w:val="Normal"/>
        <w:ind w:left="498" w:hanging="0"/>
        <w:rPr>
          <w:rFonts w:eastAsia="Times New Roman" w:cs="Times New Roman"/>
          <w:b/>
          <w:bCs/>
          <w:iCs/>
          <w:color w:val="000000" w:themeColor="text1"/>
          <w:kern w:val="0"/>
          <w:lang w:val="pl-PL" w:eastAsia="pl-PL" w:bidi="pl-PL"/>
        </w:rPr>
      </w:pPr>
      <w:r>
        <w:rPr>
          <w:sz w:val="24"/>
          <w:szCs w:val="24"/>
        </w:rPr>
      </w:r>
    </w:p>
    <w:p>
      <w:pPr>
        <w:pStyle w:val="Normal"/>
        <w:ind w:left="498" w:hanging="498"/>
        <w:rPr>
          <w:rFonts w:ascii="Calibri" w:hAnsi="Calibri" w:eastAsia="Times New Roman" w:cs="Calibri" w:cstheme="minorHAnsi"/>
          <w:b w:val="false"/>
          <w:bCs w:val="false"/>
          <w:iCs/>
          <w:color w:val="000000" w:themeColor="text1"/>
          <w:kern w:val="0"/>
          <w:sz w:val="20"/>
          <w:szCs w:val="20"/>
          <w:lang w:val="pl-PL" w:eastAsia="pl-PL" w:bidi="pl-PL"/>
        </w:rPr>
      </w:pPr>
      <w:r>
        <w:rPr>
          <w:rFonts w:eastAsia="Times New Roman" w:cs="Calibri" w:cstheme="minorHAnsi" w:ascii="Calibri" w:hAnsi="Calibri"/>
          <w:b w:val="false"/>
          <w:bCs w:val="false"/>
          <w:iCs/>
          <w:color w:val="000000" w:themeColor="text1"/>
          <w:kern w:val="0"/>
          <w:sz w:val="20"/>
          <w:szCs w:val="20"/>
          <w:lang w:val="pl-PL" w:eastAsia="pl-PL" w:bidi="pl-PL"/>
        </w:rPr>
      </w:r>
    </w:p>
    <w:p>
      <w:pPr>
        <w:pStyle w:val="Normal"/>
        <w:ind w:left="498" w:hanging="498"/>
        <w:rPr>
          <w:rFonts w:ascii="Calibri" w:hAnsi="Calibri" w:cs="Times New Roman"/>
          <w:bCs/>
          <w:color w:val="000000"/>
          <w:sz w:val="20"/>
          <w:szCs w:val="20"/>
        </w:rPr>
      </w:pPr>
      <w:r>
        <w:rPr>
          <w:rFonts w:cs="Times New Roman" w:ascii="Calibri" w:hAnsi="Calibri"/>
          <w:bCs/>
          <w:color w:val="000000"/>
          <w:sz w:val="20"/>
          <w:szCs w:val="20"/>
        </w:rPr>
      </w:r>
    </w:p>
    <w:p>
      <w:pPr>
        <w:pStyle w:val="Normal"/>
        <w:ind w:left="498" w:hanging="498"/>
        <w:rPr>
          <w:rFonts w:ascii="Calibri" w:hAnsi="Calibri"/>
          <w:b/>
          <w:bCs/>
          <w:sz w:val="20"/>
          <w:szCs w:val="20"/>
        </w:rPr>
      </w:pPr>
      <w:r>
        <w:rPr>
          <w:rFonts w:eastAsia="Times New Roman" w:cs="Times New Roman"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Calibri" w:hAnsi="Calibri"/>
          <w:b/>
          <w:bCs/>
          <w:color w:val="000000"/>
          <w:sz w:val="20"/>
          <w:szCs w:val="20"/>
        </w:rPr>
        <w:tab/>
      </w:r>
      <w:r>
        <w:rPr>
          <w:rFonts w:cs="Times New Roman" w:ascii="Calibri" w:hAnsi="Calibri"/>
          <w:b/>
          <w:bCs/>
          <w:color w:val="000000"/>
          <w:sz w:val="24"/>
          <w:szCs w:val="24"/>
        </w:rPr>
        <w:t>Ćwiczenia: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1.Odnoszenie poznanych modeli teoretycznych umiejętności społecznych do praktyki. Rozpoznawanie konkretnych umiejętności społecznych na podstawie analizy materiałów multimedialnych.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2.Przekazanie zasad prowadzenia warsztatów grupowych. Zasady układania kontraktu grupowego. Zaprojektowanie własnych warsztatów przez studentów, wspólna analiza.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3.Działalność pomocowa wobec potrzeb osób starszych. Empatyczne zrozumienie potrzeb tej grupy na podstawie ćwiczeń dramowych (odgrywanie ról).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4.Wypracowanie sposobów oceny kompetencji społecznych na podstawie analizy studiów przypadków oraz odgrywania ról.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 xml:space="preserve">5.Możliwość przećwiczenia zasad prowadzenia treningu umiejętności społecznych w praktyce-praca w grupach nad studiami przypadków.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6. Projektowanie działań z zakresu TUS na podstawie wiedzy zdobytej na wykładzie – odgrywanie ról oraz analiza form TUS z uwzględnieniem ich wad i zalet.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7.Dyskusja nad rozwojem interpersonalnym i pojęciem „skuteczności interpersonalnej”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8.Projektowanie historyjek społecznych na potrzeby treningu percepcji społecznej. Odgrywanie ról na potrzeby zrozumienia zjawisk społecznych, analiza grupowa zaobserwowanych wniosków.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9. Analiza wad i zalet asertywności, rozwijanie tej umiejętności poprzez ćwiczenia z odgrywaniem ról. Znaczenie komunikacji niewerbalnej.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10. Wprowadzenie w podstawy psychoterapii poznawczo- behawioralnej ze szczególnym uwzględnieniem aktywizacji behawioralnej i jej wpływu na funkcjonowanie jednostki z zaburzeniami psychicznymi. Analiza materiałów multimedialnych.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11.Analiza materiału filmowego-określenie podstawowych ograniczeń seniorów, ich potrzeb oraz zagrożeń związanych z instytucjonalizacją. Zaprojektowanie działań zaradczych w grupach.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 xml:space="preserve">12.Analiza Międzynarodowej Klasyfikacji Chorób ICD oraz porównanie jej z klasyfikacją amerykańską DSM. Omówienie najczęstszych objawów towarzyszących depresji, schizofrenii oraz otępieniom. Wykonanie ćwiczeń dramowych wzmacniających rozumienie charakteru objawów. 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13. Wprowadzenie w TUS w innych (niż senioralna) grupach docelowych- przede wszystkim w zaburzeniach ze spektrum autyzmu. Zaprezentowanie materiałów multimedialnych na ten temat. Wykorzystanie internetu jako pomocy w prowadzeniu TUS.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iCs/>
          <w:color w:val="000000"/>
          <w:sz w:val="24"/>
          <w:szCs w:val="24"/>
        </w:rPr>
        <w:t>14.Przećwiczenie poznanych na wykładzie technik radzenia sobie ze stresem, zwrócenie uwagi na stygmatyzację związaną z korzystaniem z pomocy psychologicznej, przedstawienie środków prewencyjnych wobec syndromu wypalenia zawodowego.</w:t>
      </w:r>
    </w:p>
    <w:p>
      <w:pPr>
        <w:pStyle w:val="Normal"/>
        <w:rPr>
          <w:sz w:val="24"/>
          <w:szCs w:val="24"/>
        </w:rPr>
      </w:pPr>
      <w:r>
        <w:rPr>
          <w:rFonts w:cs="Times New Roman" w:ascii="Calibri" w:hAnsi="Calibri"/>
          <w:bCs/>
          <w:iCs/>
          <w:color w:val="000000"/>
          <w:sz w:val="24"/>
          <w:szCs w:val="24"/>
        </w:rPr>
        <w:t>15.Zaprojektowanie własnego programu TUS dla osób starszych na podstawie analizy materiałów multimedialnych i dotychczasowej wiedzy.</w:t>
      </w:r>
      <w:r>
        <w:rPr>
          <w:rFonts w:cs="Times New Roman"/>
          <w:bCs/>
          <w:iCs/>
          <w:color w:val="000000"/>
          <w:sz w:val="24"/>
          <w:szCs w:val="24"/>
        </w:rPr>
        <w:t xml:space="preserve"> </w:t>
      </w:r>
    </w:p>
    <w:p>
      <w:pPr>
        <w:pStyle w:val="Tretekstu"/>
        <w:spacing w:lineRule="auto" w:line="276"/>
        <w:ind w:hanging="0"/>
        <w:rPr/>
      </w:pPr>
      <w:r>
        <w:rPr/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left="1134" w:hanging="567"/>
        <w:rPr>
          <w:rFonts w:ascii="Calibri" w:hAnsi="Calibri" w:cs="Calibri" w:asciiTheme="minorHAnsi" w:cs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4"/>
        <w:gridCol w:w="6831"/>
        <w:gridCol w:w="1773"/>
      </w:tblGrid>
      <w:tr>
        <w:trPr>
          <w:trHeight w:val="980" w:hRule="atLeast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 w:themeColor="text1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8"/>
        <w:gridCol w:w="6830"/>
        <w:gridCol w:w="1778"/>
      </w:tblGrid>
      <w:tr>
        <w:trPr>
          <w:trHeight w:val="282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Zna rodzaje więzi społecznych i rządzące nimi prawidłowościach Potrafi wskazać podstawowe umiejętności społeczne oraz zdefiniować czym są kompetencje społeczne.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jc w:val="center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PED1A_W05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Zna charakterystykę uczestników działalności opiekuńczej i wychowawczej. Zna zasady prowadzenia treningu umiejętności społecznych w grupach osób starszych i u osób z zaburzeniami 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jc w:val="center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PED1A_W14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Ma elementarną wiedzę o różnych rodzajach struktur społecznych i instytucjach życia społecznego oraz zachodzących między nimi relacjach, rozumie czym jest dynamika grupowa, zna podstawowe procesy grupowe.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jc w:val="center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PED1A_W19</w:t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39"/>
        <w:gridCol w:w="6826"/>
        <w:gridCol w:w="1773"/>
      </w:tblGrid>
      <w:tr>
        <w:trPr>
          <w:trHeight w:val="285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U01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Potrafi  posługiwać się podstawowymi ujęciami teoretycznymi w celu analizowania, interpretowania oraz projektowania strategii działań pedagogicznych; potrafi generować rozwiązania konkretnych problemów pedagogicznych i prognozować przebieg ich rozwiązywania oraz przewidywać skutki planowanych działań. Potrafi zaprojektować plan treningu umiejętności społecznych dla osób w wieku starszym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  <w:t>PED1A_U3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1239" w:type="dxa"/>
            <w:tcBorders>
              <w:left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Ma rozwinięte umiejętności w zakresie komunikacji interpersonalnej, potrafi używać języka specjalistycznego  i porozumiewać się w sposób precyzyjny i spójny przy użyciu różnych kanałów i technik komunikacyjnych ze specjalistami w zakresie pedagogiki, jak i z odbiorcami spoza grona specjalistów. Zna zasady efektywnej komunikacji interpersonalnej i potrafi stosować je w praktyce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  <w:t>PED1A_U12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322" w:hRule="atLeast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iCs/>
                <w:color w:val="000000"/>
                <w:sz w:val="21"/>
                <w:szCs w:val="21"/>
              </w:rPr>
              <w:t>potrafi wykorzystywać podstawową wiedzę teoretyczną  z zakresu pedagogiki oraz powiązanych z nią dyscyplin  w celu analizowania i interpretowania problemów  edukacyjnych, wychowawczych, opiekuńczych, kulturalnych i pomocowych, a także motywów i wzorów ludzkich zachowań. Diagnozuje deficyty w funkcjonowaniu społecznym i odpowiednio do nich dopasowuje interwencje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  <w:t>PED1A_U02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Tretekstu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48"/>
        <w:gridCol w:w="6830"/>
        <w:gridCol w:w="1778"/>
      </w:tblGrid>
      <w:tr>
        <w:trPr>
          <w:trHeight w:val="282" w:hRule="atLeast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cs="Times New Roman" w:ascii="Calibri" w:hAnsi="Calibri"/>
                <w:iCs/>
                <w:color w:val="000000"/>
                <w:sz w:val="21"/>
                <w:szCs w:val="21"/>
              </w:rPr>
              <w:t>Jest gotów do świadomego oceniania poziomu swojej wiedzy i umiejętności, rozumie potrzebę ciągłego dokształcania się zawodowego i rozwoju osobistego, dokonuje samooceny własnych kompetencji i doskonali umiejętności, wyznacza kierunki własnego rozwoju i kształcenia, docenia empatię w kontakcie z podopiecznym, potrafi wchodzić w rolę osoby w podeszłym wieku i określać jej potrzeby i ograniczenia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PED1A_K02 </w:t>
            </w:r>
          </w:p>
        </w:tc>
      </w:tr>
      <w:tr>
        <w:trPr>
          <w:trHeight w:val="282" w:hRule="atLeast"/>
        </w:trPr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6" w:right="98" w:hanging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cs="Times New Roman" w:ascii="Calibri" w:hAnsi="Calibri"/>
                <w:iCs/>
                <w:color w:val="000000"/>
                <w:sz w:val="21"/>
                <w:szCs w:val="21"/>
              </w:rPr>
              <w:t>odpowiedzialnego przygotowywania się do swojej pracy, projektowania i wykonywania działań pedagogicznych. Ma świadomość wagi zjawiska „starzenia się” społeczeństwa oraz prowadzenia działań mających na celu aktywizację tej grupy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 </w:t>
            </w: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>PED1A_K08</w:t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left="1134" w:right="-20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1"/>
        <w:gridCol w:w="1232"/>
        <w:gridCol w:w="1232"/>
        <w:gridCol w:w="1228"/>
        <w:gridCol w:w="1227"/>
        <w:gridCol w:w="1228"/>
        <w:gridCol w:w="1228"/>
        <w:gridCol w:w="1223"/>
      </w:tblGrid>
      <w:tr>
        <w:trPr/>
        <w:tc>
          <w:tcPr>
            <w:tcW w:w="1241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0" w:right="-11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32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Egzamin ustny/</w:t>
              <w:br/>
              <w:t>pisemny/</w:t>
              <w:br/>
              <w:t>praktyczny/</w:t>
              <w:br/>
              <w:t xml:space="preserve">inny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0"/>
                <w:szCs w:val="20"/>
              </w:rPr>
              <w:t>(jaki?)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*</w:t>
            </w:r>
          </w:p>
        </w:tc>
        <w:tc>
          <w:tcPr>
            <w:tcW w:w="123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-105" w:right="-155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0"/>
                <w:szCs w:val="20"/>
              </w:rPr>
              <w:t>(jakie?)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6"/>
        <w:gridCol w:w="408"/>
        <w:gridCol w:w="410"/>
        <w:gridCol w:w="408"/>
        <w:gridCol w:w="409"/>
        <w:gridCol w:w="414"/>
        <w:gridCol w:w="404"/>
        <w:gridCol w:w="413"/>
        <w:gridCol w:w="410"/>
        <w:gridCol w:w="408"/>
        <w:gridCol w:w="409"/>
        <w:gridCol w:w="413"/>
        <w:gridCol w:w="404"/>
        <w:gridCol w:w="409"/>
        <w:gridCol w:w="414"/>
        <w:gridCol w:w="404"/>
        <w:gridCol w:w="413"/>
        <w:gridCol w:w="410"/>
        <w:gridCol w:w="408"/>
        <w:gridCol w:w="409"/>
        <w:gridCol w:w="414"/>
        <w:gridCol w:w="394"/>
      </w:tblGrid>
      <w:tr>
        <w:trPr/>
        <w:tc>
          <w:tcPr>
            <w:tcW w:w="123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2: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39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...</w:t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W01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U01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K01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kern w:val="0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  <w:tr>
        <w:trPr/>
        <w:tc>
          <w:tcPr>
            <w:tcW w:w="1236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right="37" w:hanging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39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000000" w:themeColor="text1"/>
                <w:sz w:val="21"/>
                <w:szCs w:val="21"/>
              </w:rPr>
            </w:r>
          </w:p>
        </w:tc>
      </w:tr>
    </w:tbl>
    <w:p>
      <w:pPr>
        <w:pStyle w:val="Tretekstu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>Adnotacja. 1: forma zajęć; 2: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left="1134" w:hanging="567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Forma zajęć: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>Wykład (W)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b/>
          <w:iCs/>
          <w:color w:val="000000" w:themeColor="text1"/>
          <w:sz w:val="24"/>
          <w:szCs w:val="24"/>
        </w:rPr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8"/>
        <w:gridCol w:w="8874"/>
      </w:tblGrid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Ocena</w:t>
            </w:r>
          </w:p>
        </w:tc>
        <w:tc>
          <w:tcPr>
            <w:tcW w:w="8874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4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50%; Student zdał kolokwium w stopniu dostatecznym 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3,5</w:t>
            </w:r>
          </w:p>
        </w:tc>
        <w:tc>
          <w:tcPr>
            <w:tcW w:w="8874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61%; Student zdał kolokwium w stopniu dostatecznym +, był aktywny na zajęciach 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4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71%; Student zdał kolokwium w stopniu dobrym, był aktywny na zajęciach 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4,5</w:t>
            </w:r>
          </w:p>
        </w:tc>
        <w:tc>
          <w:tcPr>
            <w:tcW w:w="8874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81%; Student zdał kolkwium w stopniu dobrym +, był aktywny na zajęciach 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4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91%Student zdał egzamin w stopniu bardzo dobrym, był aktywny na zajęciach </w:t>
            </w:r>
          </w:p>
        </w:tc>
      </w:tr>
    </w:tbl>
    <w:p>
      <w:pPr>
        <w:pStyle w:val="Normal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cs="Calibri" w:cstheme="minorHAnsi" w:ascii="Calibri" w:hAnsi="Calibri"/>
          <w:bCs/>
          <w:iCs/>
          <w:color w:val="000000" w:themeColor="text1"/>
          <w:sz w:val="24"/>
          <w:szCs w:val="24"/>
        </w:rPr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8"/>
        <w:gridCol w:w="8874"/>
      </w:tblGrid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Ocena</w:t>
            </w:r>
          </w:p>
        </w:tc>
        <w:tc>
          <w:tcPr>
            <w:tcW w:w="8874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4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50%; Student zdał kolokwium w stopniu dostatecznym 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3,5</w:t>
            </w:r>
          </w:p>
        </w:tc>
        <w:tc>
          <w:tcPr>
            <w:tcW w:w="8874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61%; Student zdał kolokwium w stopniu dostatecznym +, był aktywny na zajęciach 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4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71%; Student zdał kolokwium w stopniu dobrym, był aktywny na zajęciach 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4,5</w:t>
            </w:r>
          </w:p>
        </w:tc>
        <w:tc>
          <w:tcPr>
            <w:tcW w:w="8874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81%; Student zdał kolkwium w stopniu dobrym +, był aktywny na zajęciach 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4" w:type="dxa"/>
            <w:tcBorders>
              <w:top w:val="nil"/>
            </w:tcBorders>
          </w:tcPr>
          <w:p>
            <w:pPr>
              <w:pStyle w:val="Tretekstu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</w:pPr>
            <w:r>
              <w:rPr>
                <w:rFonts w:eastAsia="Times New Roman" w:cs="Calibri" w:ascii="Calibri" w:hAnsi="Calibri" w:cstheme="minorHAnsi"/>
                <w:b w:val="false"/>
                <w:bCs w:val="false"/>
                <w:iCs/>
                <w:color w:val="000000" w:themeColor="text1"/>
                <w:kern w:val="0"/>
                <w:sz w:val="21"/>
                <w:szCs w:val="21"/>
                <w:lang w:val="pl-PL" w:eastAsia="pl-PL" w:bidi="pl-PL"/>
              </w:rPr>
              <w:t xml:space="preserve">Od 91%Student zdał egzamin w stopniu bardzo dobrym, był aktywny na zajęciach </w:t>
            </w:r>
          </w:p>
        </w:tc>
      </w:tr>
    </w:tbl>
    <w:p>
      <w:pPr>
        <w:pStyle w:val="Nagwek2"/>
        <w:numPr>
          <w:ilvl w:val="0"/>
          <w:numId w:val="1"/>
        </w:numPr>
        <w:shd w:val="clear" w:color="auto" w:fill="auto"/>
        <w:spacing w:lineRule="auto" w:line="276" w:before="240" w:after="0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494"/>
        <w:gridCol w:w="2177"/>
        <w:gridCol w:w="2173"/>
      </w:tblGrid>
      <w:tr>
        <w:trPr>
          <w:trHeight w:val="460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84" w:right="8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84" w:right="81" w:hanging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45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30</w:t>
            </w:r>
          </w:p>
        </w:tc>
      </w:tr>
      <w:tr>
        <w:trPr>
          <w:trHeight w:val="282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Udział w wykładach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kern w:val="0"/>
              </w:rPr>
              <w:t>Udział w ćwiczeniach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val="000000" w:themeColor="text1"/>
                <w:kern w:val="0"/>
                <w:sz w:val="21"/>
                <w:szCs w:val="21"/>
              </w:rPr>
              <w:t>Przygotowanie do egzaminu/kolokwium*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iCs/>
                <w:color w:val="000000" w:themeColor="text1"/>
                <w:sz w:val="21"/>
                <w:szCs w:val="21"/>
              </w:rPr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iCs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val="000000" w:themeColor="text1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/>
                <w:bCs/>
                <w:iCs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</w:tbl>
    <w:p>
      <w:pPr>
        <w:pStyle w:val="Normal"/>
        <w:spacing w:lineRule="auto" w:line="276" w:before="360" w:after="120"/>
        <w:ind w:left="255" w:hanging="0"/>
        <w:rPr>
          <w:rFonts w:ascii="Calibri" w:hAnsi="Calibri" w:cs="Calibri" w:asciiTheme="minorHAnsi" w:cstheme="minorHAnsi" w:hAnsiTheme="minorHAnsi"/>
          <w:b/>
          <w:iCs/>
          <w:color w:val="000000" w:themeColor="text1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0"/>
          <w:szCs w:val="20"/>
        </w:rPr>
        <w:t>*niepotrzebne usunąć</w:t>
      </w:r>
    </w:p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val="000000" w:themeColor="text1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  <w:rPr/>
    </w:lvl>
  </w:abstractNum>
  <w:abstractNum w:abstractNumId="3"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  <w:rPr/>
    </w:lvl>
  </w:abstractNum>
  <w:abstractNum w:abstractNumId="4"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 w:val="false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宋体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right="547" w:hanging="0"/>
      <w:outlineLvl w:val="1"/>
    </w:pPr>
    <w:rPr>
      <w:rFonts w:ascii="Calibri" w:hAnsi="Calibri" w:eastAsia="宋体" w:cs="Calibri" w:asciiTheme="minorHAnsi" w:cstheme="minorHAnsi" w:eastAsiaTheme="majorEastAsia" w:hAnsiTheme="minorHAnsi"/>
      <w:b/>
      <w:bCs/>
      <w:sz w:val="20"/>
      <w:szCs w:val="20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宋体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宋体" w:cs="" w:asciiTheme="majorHAnsi" w:cstheme="majorBidi" w:eastAsiaTheme="majorEastAsia" w:hAnsiTheme="majorHAnsi"/>
      <w:color w:val="365F91" w:themeColor="accent1" w:themeShade="bf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宋体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宋体" w:cs="" w:asciiTheme="majorHAnsi" w:cstheme="majorBidi" w:eastAsiaTheme="majorEastAsia" w:hAnsiTheme="majorHAnsi"/>
      <w:color w:val="243F60" w:themeColor="accent1" w:themeShade="7f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宋体" w:cs="" w:cstheme="majorBidi" w:eastAsiaTheme="majorEastAsia"/>
      <w:i/>
      <w:color w:val="243F60" w:themeColor="accent1" w:themeShade="7f"/>
      <w:sz w:val="24"/>
      <w:szCs w:val="24"/>
      <w:lang w:val="pl-PL" w:eastAsia="pl-PL" w:bidi="pl-PL"/>
    </w:rPr>
  </w:style>
  <w:style w:type="character" w:styleId="Czeinternetowe">
    <w:name w:val="Hyperlink"/>
    <w:rPr>
      <w:color w:val="0066CC"/>
      <w:u w:val="single"/>
    </w:rPr>
  </w:style>
  <w:style w:type="character" w:styleId="WW8Num28z0">
    <w:name w:val="WW8Num28z0"/>
    <w:qFormat/>
    <w:rPr>
      <w:b w:val="false"/>
      <w:bCs/>
      <w:i w:val="false"/>
      <w:iCs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966" w:hanging="34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4c2d6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Nagwek3"/>
    <w:link w:val="Styl1Znak"/>
    <w:qFormat/>
    <w:rsid w:val="004501ed"/>
    <w:pPr/>
    <w:rPr>
      <w:rFonts w:ascii="Calibri" w:hAnsi="Calibri"/>
      <w:i/>
      <w:color w:val="auto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Times New Roman" w:hAnsi="Times New Roman" w:eastAsia="Calibri" w:cs="Times New Roman"/>
      <w:color w:val="000000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28">
    <w:name w:val="WW8Num28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okalnepartnerstwa.org.pl/file/fm/BIBLIOTEKA/manuale/Aktywizacja_spoleczna_osob_starszych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LibreOffice/7.5.2.2$Windows_X86_64 LibreOffice_project/53bb9681a964705cf672590721dbc85eb4d0c3a2</Application>
  <AppVersion>15.0000</AppVersion>
  <Pages>6</Pages>
  <Words>1681</Words>
  <Characters>12102</Characters>
  <CharactersWithSpaces>13523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2025-12-11T11:01:00Z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2026-03-13T17:57:11Z</dcterms:modified>
  <cp:revision>9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