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02C29B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3189F" w:rsidRPr="0063189F">
        <w:rPr>
          <w:rFonts w:eastAsia="Arial Unicode MS"/>
          <w:b w:val="0"/>
          <w:bCs w:val="0"/>
          <w:lang w:val="pl" w:bidi="ar-SA"/>
        </w:rPr>
        <w:t xml:space="preserve"> </w:t>
      </w:r>
      <w:r w:rsidR="0063189F" w:rsidRPr="0063189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PED1.F.ASKOD</w:t>
      </w:r>
    </w:p>
    <w:p w14:paraId="43134346" w14:textId="2A471F1E" w:rsidR="004501ED" w:rsidRPr="00341AC4" w:rsidRDefault="004838B3" w:rsidP="0063189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3189F" w:rsidRPr="0063189F">
        <w:rPr>
          <w:rFonts w:eastAsia="Arial Unicode MS"/>
          <w:b/>
          <w:sz w:val="20"/>
          <w:szCs w:val="20"/>
          <w:lang w:bidi="ar-SA"/>
        </w:rPr>
        <w:t xml:space="preserve"> </w:t>
      </w:r>
      <w:r w:rsidR="0063189F" w:rsidRPr="0063189F">
        <w:rPr>
          <w:rFonts w:asciiTheme="minorHAnsi" w:hAnsiTheme="minorHAnsi" w:cstheme="minorHAnsi"/>
          <w:b/>
          <w:bCs/>
          <w:color w:val="000000" w:themeColor="text1"/>
        </w:rPr>
        <w:t>Animacja społeczno-kulturalna dorosłych</w:t>
      </w:r>
    </w:p>
    <w:p w14:paraId="274BA5FF" w14:textId="29A6960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3189F" w:rsidRPr="0063189F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r w:rsidR="0063189F" w:rsidRPr="0063189F">
        <w:rPr>
          <w:b/>
          <w:bCs/>
          <w:i w:val="0"/>
          <w:iCs/>
          <w:color w:val="000000" w:themeColor="text1"/>
        </w:rPr>
        <w:t>Socio-cultural animation of adults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C80A5EB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stopnia/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792E857" w:rsidR="000746C5" w:rsidRPr="00341AC4" w:rsidRDefault="006318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Ogólna wiedza z zakresu pedagogiki, pedagogiki społecznej, andragogiki, socjologii, nauk społecznych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903811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6876B7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38B8D9C" w:rsidR="000746C5" w:rsidRPr="00341AC4" w:rsidRDefault="0068724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33BF32E" w:rsidR="00402BCD" w:rsidRPr="00341AC4" w:rsidRDefault="0063189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Wykład, dyskusja wielokrotna, burza mózgów, prezentacja, metoda symulacyjna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149EE71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B. Cyboran, (2018)Animacja w systemie zależności instytucjonalnych, uj, Kraków</w:t>
            </w:r>
          </w:p>
          <w:p w14:paraId="3C4D5345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Cervinkowa H., Gołębniak B. (red.) (2010) Badania w działaniu. Pedagogika i antropologia zaangażowane, Wrocław.</w:t>
            </w:r>
          </w:p>
          <w:p w14:paraId="7D805F65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Dla animacji kultury: metody, działanie, inspiracje. Warszawa 2005.</w:t>
            </w:r>
          </w:p>
          <w:p w14:paraId="40D8A405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Kargulowa A., (1995), Poradnictwo w okresie transformacji kulturowej, Wrocław.</w:t>
            </w:r>
          </w:p>
          <w:p w14:paraId="5219373F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Kostecki A.,(1997), Wyznaczniki ról zawodowych animatorów kultury, Zielona Góra.</w:t>
            </w:r>
          </w:p>
          <w:p w14:paraId="2C694727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Mendel M. (red.) (2004), Animacja współpracy środowiskowej, Toruń.</w:t>
            </w:r>
          </w:p>
          <w:p w14:paraId="5DDB5FC9" w14:textId="77777777" w:rsidR="0063189F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Olbrycht K., O roli przykładu, wzoru, autorytetu mistrza w wychowaniu osobowym, Toruń.</w:t>
            </w:r>
          </w:p>
          <w:p w14:paraId="32F50A6B" w14:textId="77777777" w:rsid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Sielatycki M., Metody nauczania w edukacji międzykulturowej, Warszawa.</w:t>
            </w:r>
          </w:p>
          <w:p w14:paraId="21539079" w14:textId="5F53F544" w:rsidR="00566B57" w:rsidRPr="0063189F" w:rsidRDefault="0063189F" w:rsidP="0063189F">
            <w:pPr>
              <w:pStyle w:val="TableParagraph"/>
              <w:numPr>
                <w:ilvl w:val="0"/>
                <w:numId w:val="37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Zierkiewicz E., Wnuk W. (red.) (2006), Tworzyć, zmieniać i aktywizować. Wrocław.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75936A2E" w:rsidR="00566B57" w:rsidRPr="0063189F" w:rsidRDefault="0063189F" w:rsidP="0063189F">
            <w:pPr>
              <w:pStyle w:val="TableParagraph"/>
              <w:numPr>
                <w:ilvl w:val="0"/>
                <w:numId w:val="38"/>
              </w:numPr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6318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P. Litwika-Grześkowiak, Metodyka i technika Pracy animatora czasu wolnego, wyd. Proksenia, Kraków 2016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3528B89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</w:t>
      </w:r>
      <w:r w:rsidR="0063189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6BCB3727" w14:textId="1288EA45" w:rsidR="0063189F" w:rsidRPr="0063189F" w:rsidRDefault="003E0703" w:rsidP="0063189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3189F" w:rsidRPr="0063189F">
        <w:rPr>
          <w:rFonts w:eastAsia="Arial Unicode MS"/>
          <w:bCs/>
          <w:sz w:val="20"/>
          <w:szCs w:val="20"/>
          <w:lang w:val="pl" w:bidi="ar-SA"/>
        </w:rPr>
        <w:t xml:space="preserve"> </w:t>
      </w:r>
      <w:r w:rsidR="0063189F" w:rsidRPr="0063189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Dostarczenie wiedzy  o rodzajach więzi społecznych i o rządzących nimi prawidłowościac,, </w:t>
      </w:r>
      <w:r w:rsidR="0063189F" w:rsidRPr="0063189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lastRenderedPageBreak/>
        <w:t>czynnikach blokująych i wspierających aktywność jednostki.</w:t>
      </w:r>
    </w:p>
    <w:p w14:paraId="6E0FCC1A" w14:textId="77777777" w:rsidR="0063189F" w:rsidRPr="0063189F" w:rsidRDefault="0063189F" w:rsidP="0063189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63189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C2.  Wprowadzenie studentów w problematykę wiedzy z zakresu animacji społeczno-kulturalnej w jej głównych aspektach dotyczących roli kultury w życiu współczesnego człowieka, oraz społeczno-kulturowymi uwarunkowaniami przemian społecznych. </w:t>
      </w:r>
    </w:p>
    <w:p w14:paraId="6F15E1E0" w14:textId="77777777" w:rsidR="0063189F" w:rsidRDefault="0063189F" w:rsidP="0063189F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63189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C3. Zapoznanie się z wybranymi koncepcjami animacji, charakteryzującymi ją, jako strategię postępowania w życiu społecznym i kulturowym. Strategiami kreowania postaw aktywnych.</w:t>
      </w:r>
    </w:p>
    <w:p w14:paraId="1D57A424" w14:textId="3BBE4FDC" w:rsidR="0063189F" w:rsidRPr="0063189F" w:rsidRDefault="0063189F" w:rsidP="0063189F">
      <w:pPr>
        <w:pStyle w:val="TableParagraph"/>
        <w:ind w:left="993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</w:pPr>
      <w:r w:rsidRPr="0063189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pl"/>
        </w:rPr>
        <w:t>Ćwiczenia</w:t>
      </w:r>
    </w:p>
    <w:p w14:paraId="6FDF6098" w14:textId="77777777" w:rsidR="0063189F" w:rsidRPr="0063189F" w:rsidRDefault="0063189F" w:rsidP="0063189F">
      <w:pPr>
        <w:pStyle w:val="TableParagraph"/>
        <w:numPr>
          <w:ilvl w:val="0"/>
          <w:numId w:val="39"/>
        </w:numP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63189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C1. Poznanie specyfiki animacji społeczno - kulturalnej dla osób dorosłych.</w:t>
      </w:r>
    </w:p>
    <w:p w14:paraId="6789A5FF" w14:textId="77777777" w:rsidR="0063189F" w:rsidRPr="0063189F" w:rsidRDefault="0063189F" w:rsidP="0063189F">
      <w:pPr>
        <w:pStyle w:val="TableParagraph"/>
        <w:numPr>
          <w:ilvl w:val="0"/>
          <w:numId w:val="39"/>
        </w:numP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63189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C2. Rozwijanie umiejętności studentów sprzyjających samodzielnej animacji zajęć dla osób dorosłych.</w:t>
      </w:r>
    </w:p>
    <w:p w14:paraId="26B20E5E" w14:textId="77777777" w:rsidR="0063189F" w:rsidRPr="0063189F" w:rsidRDefault="0063189F" w:rsidP="0063189F">
      <w:pPr>
        <w:pStyle w:val="TableParagraph"/>
        <w:numPr>
          <w:ilvl w:val="0"/>
          <w:numId w:val="39"/>
        </w:numP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</w:pPr>
      <w:r w:rsidRPr="0063189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 w:val="pl"/>
        </w:rPr>
        <w:t>C3. Przygotowanie do samodzielnego organizowania zajęć animacyjnych i kulturalnych dla osób dorosłych.</w:t>
      </w:r>
    </w:p>
    <w:p w14:paraId="20FE853D" w14:textId="77777777" w:rsidR="0063189F" w:rsidRPr="0063189F" w:rsidRDefault="0063189F" w:rsidP="0063189F">
      <w:pPr>
        <w:pStyle w:val="TableParagraph"/>
        <w:ind w:left="993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4143FB8" w14:textId="6FFF77F5" w:rsidR="0063189F" w:rsidRPr="00341AC4" w:rsidRDefault="003E0703" w:rsidP="0063189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6B41EB9" w14:textId="77777777" w:rsidR="0063189F" w:rsidRPr="0063189F" w:rsidRDefault="0063189F" w:rsidP="0063189F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89F">
        <w:rPr>
          <w:rFonts w:asciiTheme="minorHAnsi" w:hAnsiTheme="minorHAnsi" w:cstheme="minorHAnsi"/>
          <w:color w:val="000000" w:themeColor="text1"/>
          <w:sz w:val="24"/>
          <w:szCs w:val="24"/>
        </w:rPr>
        <w:t>Animacja jako koncepcja pedagogiczna w działalności społeczno – kulturalnej – definicje i charakterystyka zjawiska.</w:t>
      </w:r>
    </w:p>
    <w:p w14:paraId="770B942B" w14:textId="77777777" w:rsidR="0063189F" w:rsidRPr="0063189F" w:rsidRDefault="0063189F" w:rsidP="0063189F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89F">
        <w:rPr>
          <w:rFonts w:asciiTheme="minorHAnsi" w:hAnsiTheme="minorHAnsi" w:cstheme="minorHAnsi"/>
          <w:color w:val="000000" w:themeColor="text1"/>
          <w:sz w:val="24"/>
          <w:szCs w:val="24"/>
        </w:rPr>
        <w:t>Koncepcje animacji jako działalności kulturalnej.</w:t>
      </w:r>
    </w:p>
    <w:p w14:paraId="1240244B" w14:textId="77777777" w:rsidR="0063189F" w:rsidRPr="0063189F" w:rsidRDefault="0063189F" w:rsidP="0063189F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89F">
        <w:rPr>
          <w:rFonts w:asciiTheme="minorHAnsi" w:hAnsiTheme="minorHAnsi" w:cstheme="minorHAnsi"/>
          <w:color w:val="000000" w:themeColor="text1"/>
          <w:sz w:val="24"/>
          <w:szCs w:val="24"/>
        </w:rPr>
        <w:t>Koncepcje animacji w obszarze pracy środowiskowej</w:t>
      </w:r>
    </w:p>
    <w:p w14:paraId="41BD0FA9" w14:textId="77777777" w:rsidR="0063189F" w:rsidRPr="0063189F" w:rsidRDefault="0063189F" w:rsidP="0063189F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89F">
        <w:rPr>
          <w:rFonts w:asciiTheme="minorHAnsi" w:hAnsiTheme="minorHAnsi" w:cstheme="minorHAnsi"/>
          <w:color w:val="000000" w:themeColor="text1"/>
          <w:sz w:val="24"/>
          <w:szCs w:val="24"/>
        </w:rPr>
        <w:t>Bariery i ograniczenia w praktykowaniu animacji społeczno-kulturalnej.</w:t>
      </w:r>
    </w:p>
    <w:p w14:paraId="0D0EAC00" w14:textId="77777777" w:rsidR="0063189F" w:rsidRPr="0063189F" w:rsidRDefault="0063189F" w:rsidP="0063189F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89F">
        <w:rPr>
          <w:rFonts w:asciiTheme="minorHAnsi" w:hAnsiTheme="minorHAnsi" w:cstheme="minorHAnsi"/>
          <w:color w:val="000000" w:themeColor="text1"/>
          <w:sz w:val="24"/>
          <w:szCs w:val="24"/>
        </w:rPr>
        <w:t>Modele polityki kulturalnej.</w:t>
      </w:r>
    </w:p>
    <w:p w14:paraId="06E93B2B" w14:textId="77777777" w:rsidR="0063189F" w:rsidRPr="0063189F" w:rsidRDefault="0063189F" w:rsidP="0063189F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189F">
        <w:rPr>
          <w:rFonts w:asciiTheme="minorHAnsi" w:hAnsiTheme="minorHAnsi" w:cstheme="minorHAnsi"/>
          <w:color w:val="000000" w:themeColor="text1"/>
          <w:sz w:val="24"/>
          <w:szCs w:val="24"/>
        </w:rPr>
        <w:t>Podmioty i instrumenty realizacji polityki kulturalnej.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3C71E20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Miejsce animacji w działalności domów kultury.</w:t>
      </w:r>
    </w:p>
    <w:p w14:paraId="68DB8B3D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Domy kultury jako modelowa przestrzeń praktykowania animacji</w:t>
      </w:r>
    </w:p>
    <w:p w14:paraId="4979864A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Kształcenie animatorów społeczno – kulturalnych.</w:t>
      </w:r>
    </w:p>
    <w:p w14:paraId="5621AAA2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Role i kompetencje zawodowe animatorów społeczno – kulturalnych.</w:t>
      </w:r>
    </w:p>
    <w:p w14:paraId="649BFC50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Organizowanie czasu wolnego osobom dorosłym.</w:t>
      </w:r>
    </w:p>
    <w:p w14:paraId="4F2B85BE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opracowywanie i realizowanie różnego rodzaju projektów związanych z działalnością kulturalną, w tym oświatową i społeczną w perspektywie lokalnej, regionalnej, krajowej.</w:t>
      </w:r>
    </w:p>
    <w:p w14:paraId="53B6AD74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Zadania techniczne i integracyjne animatora w kształtowaniu, umacnianiu i wspieraniu grupy.</w:t>
      </w:r>
    </w:p>
    <w:p w14:paraId="22291668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Metody stymulowania procesów animacji społeczno-kulturalnej.</w:t>
      </w:r>
    </w:p>
    <w:p w14:paraId="1D4D5067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Animacja zajęć ruchowych dla osób dorosłych</w:t>
      </w:r>
    </w:p>
    <w:p w14:paraId="3A1230DF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Animacja turystyki i rekreacji</w:t>
      </w:r>
    </w:p>
    <w:p w14:paraId="66E9B05A" w14:textId="77777777" w:rsidR="0063189F" w:rsidRPr="0063189F" w:rsidRDefault="0063189F" w:rsidP="0063189F">
      <w:pPr>
        <w:widowControl/>
        <w:numPr>
          <w:ilvl w:val="0"/>
          <w:numId w:val="40"/>
        </w:numPr>
        <w:autoSpaceDE/>
        <w:autoSpaceDN/>
        <w:ind w:hanging="1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189F">
        <w:rPr>
          <w:rFonts w:asciiTheme="minorHAnsi" w:hAnsiTheme="minorHAnsi" w:cstheme="minorHAnsi"/>
          <w:bCs/>
          <w:sz w:val="24"/>
          <w:szCs w:val="24"/>
        </w:rPr>
        <w:t>Animacja gier i zabaw zespołowych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3189F" w:rsidRPr="00341AC4" w14:paraId="4B1E1EAC" w14:textId="77777777" w:rsidTr="00687AE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3189F" w:rsidRPr="00341AC4" w:rsidRDefault="0063189F" w:rsidP="006318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2FCC3230" w:rsidR="0063189F" w:rsidRPr="00341AC4" w:rsidRDefault="0063189F" w:rsidP="006318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2C29">
              <w:rPr>
                <w:sz w:val="20"/>
                <w:szCs w:val="20"/>
              </w:rPr>
              <w:t>specyfikę animacji i doradztwa w odniesieniu do osób starzejących się</w:t>
            </w:r>
          </w:p>
        </w:tc>
        <w:tc>
          <w:tcPr>
            <w:tcW w:w="1773" w:type="dxa"/>
          </w:tcPr>
          <w:p w14:paraId="1881EAEC" w14:textId="3D917EEB" w:rsidR="0063189F" w:rsidRPr="00341AC4" w:rsidRDefault="00C15F50" w:rsidP="006318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rFonts w:eastAsia="Arial Unicode MS"/>
                <w:sz w:val="20"/>
                <w:szCs w:val="20"/>
                <w:lang w:val="pl" w:bidi="ar-SA"/>
              </w:rPr>
              <w:t>PED1A_</w:t>
            </w:r>
            <w:r>
              <w:rPr>
                <w:rFonts w:eastAsia="Arial Unicode MS"/>
                <w:sz w:val="20"/>
                <w:szCs w:val="20"/>
                <w:lang w:val="pl" w:bidi="ar-SA"/>
              </w:rPr>
              <w:t>W09</w:t>
            </w:r>
          </w:p>
        </w:tc>
      </w:tr>
      <w:tr w:rsidR="0063189F" w:rsidRPr="00341AC4" w14:paraId="157D6F3E" w14:textId="77777777" w:rsidTr="00687AE3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0EE9139C" w:rsidR="0063189F" w:rsidRPr="00341AC4" w:rsidRDefault="0063189F" w:rsidP="006318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47AE217F" w:rsidR="0063189F" w:rsidRPr="00341AC4" w:rsidRDefault="0063189F" w:rsidP="006318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procesy</w:t>
            </w:r>
            <w:r w:rsidRPr="000F2C29">
              <w:rPr>
                <w:sz w:val="20"/>
                <w:szCs w:val="20"/>
              </w:rPr>
              <w:t xml:space="preserve"> komunikowania interpersonalnego i społecznego, ich prawidłowości i zakłóce</w:t>
            </w:r>
            <w:r>
              <w:rPr>
                <w:sz w:val="20"/>
                <w:szCs w:val="20"/>
              </w:rPr>
              <w:t xml:space="preserve">nia </w:t>
            </w:r>
            <w:r w:rsidRPr="000F2C29">
              <w:rPr>
                <w:sz w:val="20"/>
                <w:szCs w:val="20"/>
              </w:rPr>
              <w:t>w odniesieniu do planowania i prowadzenia działań animacyjnych</w:t>
            </w:r>
          </w:p>
        </w:tc>
        <w:tc>
          <w:tcPr>
            <w:tcW w:w="1773" w:type="dxa"/>
          </w:tcPr>
          <w:p w14:paraId="22E3BAAE" w14:textId="76699657" w:rsidR="0063189F" w:rsidRPr="00341AC4" w:rsidRDefault="00C15F50" w:rsidP="006318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rFonts w:eastAsia="Arial Unicode MS"/>
                <w:sz w:val="20"/>
                <w:szCs w:val="20"/>
                <w:lang w:val="pl" w:bidi="ar-SA"/>
              </w:rPr>
              <w:t>PED1A_</w:t>
            </w:r>
            <w:r>
              <w:rPr>
                <w:rFonts w:eastAsia="Arial Unicode MS"/>
                <w:sz w:val="20"/>
                <w:szCs w:val="20"/>
                <w:lang w:val="pl" w:bidi="ar-SA"/>
              </w:rPr>
              <w:t>W12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3189F" w:rsidRPr="00341AC4" w14:paraId="3F10EFF6" w14:textId="77777777" w:rsidTr="006C635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63189F" w:rsidRPr="00341AC4" w:rsidRDefault="0063189F" w:rsidP="006318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164DA4C1" w:rsidR="0063189F" w:rsidRPr="00341AC4" w:rsidRDefault="0063189F" w:rsidP="006318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2C29">
              <w:rPr>
                <w:sz w:val="20"/>
                <w:szCs w:val="20"/>
              </w:rPr>
              <w:t>organizować zajęcia z animacji kulturalnej i społecznej dla osób dorosłych</w:t>
            </w:r>
          </w:p>
        </w:tc>
        <w:tc>
          <w:tcPr>
            <w:tcW w:w="1773" w:type="dxa"/>
          </w:tcPr>
          <w:p w14:paraId="69BAD1D6" w14:textId="5B134E9F" w:rsidR="0063189F" w:rsidRPr="00341AC4" w:rsidRDefault="00C15F50" w:rsidP="006318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rFonts w:eastAsia="Arial Unicode MS"/>
                <w:sz w:val="20"/>
                <w:szCs w:val="20"/>
                <w:lang w:val="pl" w:bidi="ar-SA"/>
              </w:rPr>
              <w:t>PED1A_</w:t>
            </w:r>
            <w:r>
              <w:rPr>
                <w:rFonts w:eastAsia="Arial Unicode MS"/>
                <w:sz w:val="20"/>
                <w:szCs w:val="20"/>
                <w:lang w:val="pl" w:bidi="ar-SA"/>
              </w:rPr>
              <w:t>U14</w:t>
            </w:r>
          </w:p>
        </w:tc>
      </w:tr>
      <w:tr w:rsidR="0063189F" w:rsidRPr="00341AC4" w14:paraId="4D5F8E78" w14:textId="77777777" w:rsidTr="006C635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2C32CA2D" w:rsidR="0063189F" w:rsidRPr="00341AC4" w:rsidRDefault="0063189F" w:rsidP="006318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3BB6377C" w:rsidR="0063189F" w:rsidRPr="00341AC4" w:rsidRDefault="0063189F" w:rsidP="006318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o</w:t>
            </w:r>
            <w:r w:rsidRPr="00BE1A1A">
              <w:rPr>
                <w:sz w:val="20"/>
                <w:szCs w:val="20"/>
              </w:rPr>
              <w:t xml:space="preserve">bserwować działania z zakresu organizacji czasu wolnego dla osób dorosłych w </w:t>
            </w:r>
            <w:r w:rsidRPr="00BE1A1A">
              <w:rPr>
                <w:sz w:val="20"/>
                <w:szCs w:val="20"/>
              </w:rPr>
              <w:lastRenderedPageBreak/>
              <w:t>środowisku lokalnym</w:t>
            </w:r>
          </w:p>
        </w:tc>
        <w:tc>
          <w:tcPr>
            <w:tcW w:w="1773" w:type="dxa"/>
          </w:tcPr>
          <w:p w14:paraId="3E869DC6" w14:textId="01B4907A" w:rsidR="0063189F" w:rsidRPr="00341AC4" w:rsidRDefault="00C15F50" w:rsidP="006318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rFonts w:eastAsia="Arial Unicode MS"/>
                <w:sz w:val="20"/>
                <w:szCs w:val="20"/>
                <w:lang w:val="pl" w:bidi="ar-SA"/>
              </w:rPr>
              <w:lastRenderedPageBreak/>
              <w:t>PED1A_</w:t>
            </w:r>
            <w:r>
              <w:rPr>
                <w:rFonts w:eastAsia="Arial Unicode MS"/>
                <w:sz w:val="20"/>
                <w:szCs w:val="20"/>
                <w:lang w:val="pl" w:bidi="ar-SA"/>
              </w:rPr>
              <w:t>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3189F" w:rsidRPr="00341AC4" w14:paraId="3F111010" w14:textId="77777777" w:rsidTr="00C723DD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63189F" w:rsidRPr="00341AC4" w:rsidRDefault="0063189F" w:rsidP="006318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2FC5864" w:rsidR="0063189F" w:rsidRPr="00341AC4" w:rsidRDefault="0063189F" w:rsidP="006318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planowania</w:t>
            </w:r>
            <w:r w:rsidRPr="000F2C29">
              <w:rPr>
                <w:sz w:val="20"/>
                <w:szCs w:val="20"/>
              </w:rPr>
              <w:t xml:space="preserve"> aktywnoś</w:t>
            </w:r>
            <w:r>
              <w:rPr>
                <w:sz w:val="20"/>
                <w:szCs w:val="20"/>
              </w:rPr>
              <w:t>ci</w:t>
            </w:r>
            <w:r w:rsidRPr="000F2C29">
              <w:rPr>
                <w:sz w:val="20"/>
                <w:szCs w:val="20"/>
              </w:rPr>
              <w:t xml:space="preserve"> w sferze kultury służącą rozwojowi uczestników działań animacyjnych, ma świadomość wspierania ich samodzielność. </w:t>
            </w:r>
          </w:p>
        </w:tc>
        <w:tc>
          <w:tcPr>
            <w:tcW w:w="1773" w:type="dxa"/>
          </w:tcPr>
          <w:p w14:paraId="3E07749A" w14:textId="6BF6E26E" w:rsidR="0063189F" w:rsidRPr="00341AC4" w:rsidRDefault="00C15F50" w:rsidP="006318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rFonts w:eastAsia="Arial Unicode MS"/>
                <w:sz w:val="20"/>
                <w:szCs w:val="20"/>
                <w:lang w:val="pl" w:bidi="ar-SA"/>
              </w:rPr>
              <w:t>PED1A_</w:t>
            </w:r>
            <w:r>
              <w:rPr>
                <w:rFonts w:eastAsia="Arial Unicode MS"/>
                <w:sz w:val="20"/>
                <w:szCs w:val="20"/>
                <w:lang w:val="pl" w:bidi="ar-SA"/>
              </w:rPr>
              <w:t>K03</w:t>
            </w:r>
          </w:p>
        </w:tc>
      </w:tr>
      <w:tr w:rsidR="0063189F" w:rsidRPr="00341AC4" w14:paraId="5898594F" w14:textId="77777777" w:rsidTr="00C723DD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89C2E48" w:rsidR="0063189F" w:rsidRPr="00341AC4" w:rsidRDefault="0063189F" w:rsidP="0063189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535" w14:textId="75D7B045" w:rsidR="0063189F" w:rsidRPr="00341AC4" w:rsidRDefault="0063189F" w:rsidP="0063189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2C29">
              <w:rPr>
                <w:sz w:val="20"/>
                <w:szCs w:val="20"/>
              </w:rPr>
              <w:t>aktywnego uczestnictwa w grupach, organizacjach i instytucjach realizujących działania animacyjne</w:t>
            </w:r>
          </w:p>
        </w:tc>
        <w:tc>
          <w:tcPr>
            <w:tcW w:w="1773" w:type="dxa"/>
          </w:tcPr>
          <w:p w14:paraId="303767DD" w14:textId="7AE60C20" w:rsidR="0063189F" w:rsidRPr="00341AC4" w:rsidRDefault="00C15F50" w:rsidP="0063189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rFonts w:eastAsia="Arial Unicode MS"/>
                <w:sz w:val="20"/>
                <w:szCs w:val="20"/>
                <w:lang w:val="pl" w:bidi="ar-SA"/>
              </w:rPr>
              <w:t>PED1A_</w:t>
            </w:r>
            <w:r>
              <w:rPr>
                <w:rFonts w:eastAsia="Arial Unicode MS"/>
                <w:sz w:val="20"/>
                <w:szCs w:val="20"/>
                <w:lang w:val="pl" w:bidi="ar-SA"/>
              </w:rPr>
              <w:t>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7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</w:tblGrid>
      <w:tr w:rsidR="0063189F" w:rsidRPr="00341AC4" w14:paraId="0519EDA3" w14:textId="77777777" w:rsidTr="0063189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63189F" w:rsidRPr="00341AC4" w:rsidRDefault="0063189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4762E71" w:rsidR="0063189F" w:rsidRPr="00341AC4" w:rsidRDefault="006318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506D1973" w:rsidR="0063189F" w:rsidRPr="00341AC4" w:rsidRDefault="006318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3FBBCAA0" w:rsidR="0063189F" w:rsidRPr="00341AC4" w:rsidRDefault="006318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63189F" w:rsidRPr="00341AC4" w:rsidRDefault="006318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225921A9" w:rsidR="0063189F" w:rsidRPr="00341AC4" w:rsidRDefault="0063189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C15F50" w:rsidRPr="00341AC4" w14:paraId="6A3E527E" w14:textId="77777777" w:rsidTr="00C15F5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C15F50" w:rsidRPr="00341AC4" w:rsidRDefault="00C15F5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15F50" w:rsidRPr="00341AC4" w:rsidRDefault="00C15F5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8F5ED6" w14:textId="6A0E53FD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622F7" w14:textId="42B8FB29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834CC" w14:textId="4D881D19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15F50" w:rsidRPr="00341AC4" w14:paraId="3BDEFA32" w14:textId="77777777" w:rsidTr="00C15F50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C15F50" w:rsidRPr="00341AC4" w:rsidRDefault="00C15F5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666C3251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45A2847B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58ACDFB6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2AD3BAA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50ED9" w14:textId="69077FF4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277079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2C367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5F50" w:rsidRPr="00341AC4" w14:paraId="1BE54D9F" w14:textId="77777777" w:rsidTr="00C15F50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4F785F8" w:rsidR="00C15F50" w:rsidRPr="00341AC4" w:rsidRDefault="00C15F5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5FD32FA8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06C12F30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DACE01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1DE7D0" w14:textId="7B0F35D6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52DC2B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17AC57D6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80DE29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797A0" w14:textId="5FC499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E0889A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5F50" w:rsidRPr="00341AC4" w14:paraId="46ACCB6F" w14:textId="77777777" w:rsidTr="00C15F50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C15F50" w:rsidRPr="00341AC4" w:rsidRDefault="00C15F5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43D81EE4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C3C095F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1191421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1E44A" w14:textId="339F3772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1FD655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E407C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5F50" w:rsidRPr="00341AC4" w14:paraId="4C5B236F" w14:textId="77777777" w:rsidTr="00C15F50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70332AEC" w:rsidR="00C15F50" w:rsidRPr="00341AC4" w:rsidRDefault="00C15F5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5525E905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6405F8B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AF9A1F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B87D64" w14:textId="0CA11CD6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AF2EFC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49B264F0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B761A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E9019" w14:textId="7E1EE82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1AE1F4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5F50" w:rsidRPr="00341AC4" w14:paraId="5E8F52D0" w14:textId="77777777" w:rsidTr="00C15F50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C15F50" w:rsidRPr="00341AC4" w:rsidRDefault="00C15F5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2A6936A4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E9E5620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1BDC053A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517E72" w14:textId="02BD14E9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6C829B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B27B6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5F50" w:rsidRPr="00341AC4" w14:paraId="1B1A9720" w14:textId="77777777" w:rsidTr="00C15F50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CC4EC1A" w:rsidR="00C15F50" w:rsidRPr="00341AC4" w:rsidRDefault="00C15F5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2161F28B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2B5AE26B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0EC03A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F15207" w14:textId="62C1407C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E4B209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5BD72DDE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151EB2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476190" w14:textId="2AD7E21F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76B56B" w14:textId="77777777" w:rsidR="00C15F50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15F50" w:rsidRPr="00341AC4" w14:paraId="672C2EA3" w14:textId="77777777" w:rsidTr="00885A9B">
        <w:trPr>
          <w:jc w:val="center"/>
        </w:trPr>
        <w:tc>
          <w:tcPr>
            <w:tcW w:w="961" w:type="dxa"/>
          </w:tcPr>
          <w:p w14:paraId="7282B9F9" w14:textId="3884805E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34F170A3" w:rsidR="00C15F50" w:rsidRPr="00C15F50" w:rsidRDefault="00C15F50" w:rsidP="00C15F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51-60% uzyskanych punktów z egzaminu</w:t>
            </w:r>
          </w:p>
        </w:tc>
      </w:tr>
      <w:tr w:rsidR="00C15F50" w:rsidRPr="00341AC4" w14:paraId="191A8847" w14:textId="77777777" w:rsidTr="00885A9B">
        <w:trPr>
          <w:jc w:val="center"/>
        </w:trPr>
        <w:tc>
          <w:tcPr>
            <w:tcW w:w="961" w:type="dxa"/>
          </w:tcPr>
          <w:p w14:paraId="25062119" w14:textId="6064F88F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2D7AF6D5" w:rsidR="00C15F50" w:rsidRPr="00C15F50" w:rsidRDefault="00C15F50" w:rsidP="00C15F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61-70% uzyskanych punktów z egzaminu</w:t>
            </w:r>
          </w:p>
        </w:tc>
      </w:tr>
      <w:tr w:rsidR="00C15F50" w:rsidRPr="00341AC4" w14:paraId="7BF20CBE" w14:textId="77777777" w:rsidTr="00885A9B">
        <w:trPr>
          <w:jc w:val="center"/>
        </w:trPr>
        <w:tc>
          <w:tcPr>
            <w:tcW w:w="961" w:type="dxa"/>
          </w:tcPr>
          <w:p w14:paraId="29EACE8E" w14:textId="2BB375CB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615C0625" w:rsidR="00C15F50" w:rsidRPr="00C15F50" w:rsidRDefault="00C15F50" w:rsidP="00C15F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71-80% uzyskanych punktów z egzaminu</w:t>
            </w:r>
          </w:p>
        </w:tc>
      </w:tr>
      <w:tr w:rsidR="00C15F50" w:rsidRPr="00341AC4" w14:paraId="478904CC" w14:textId="77777777" w:rsidTr="00885A9B">
        <w:trPr>
          <w:jc w:val="center"/>
        </w:trPr>
        <w:tc>
          <w:tcPr>
            <w:tcW w:w="961" w:type="dxa"/>
          </w:tcPr>
          <w:p w14:paraId="0FDFC951" w14:textId="5053B0DF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22649F32" w:rsidR="00C15F50" w:rsidRPr="00C15F50" w:rsidRDefault="00C15F50" w:rsidP="00C15F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81-90% uzyskanych punktów z egzaminu</w:t>
            </w:r>
          </w:p>
        </w:tc>
      </w:tr>
      <w:tr w:rsidR="00C15F50" w:rsidRPr="00341AC4" w14:paraId="20136594" w14:textId="77777777" w:rsidTr="00885A9B">
        <w:trPr>
          <w:jc w:val="center"/>
        </w:trPr>
        <w:tc>
          <w:tcPr>
            <w:tcW w:w="961" w:type="dxa"/>
          </w:tcPr>
          <w:p w14:paraId="6E89E57E" w14:textId="7A286ACA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093C0E45" w:rsidR="00C15F50" w:rsidRPr="00C15F50" w:rsidRDefault="00C15F50" w:rsidP="00C15F5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91-100% uzyskanych punktów z egzaminu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15F50" w:rsidRPr="00341AC4" w14:paraId="277FAE1E" w14:textId="77777777" w:rsidTr="005A08B5">
        <w:trPr>
          <w:jc w:val="center"/>
        </w:trPr>
        <w:tc>
          <w:tcPr>
            <w:tcW w:w="953" w:type="dxa"/>
          </w:tcPr>
          <w:p w14:paraId="19E1F1F0" w14:textId="1553B4E9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37E96010" w:rsidR="00C15F50" w:rsidRPr="00C15F50" w:rsidRDefault="00C15F50" w:rsidP="00C15F5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Przygotowanie prezentacji i projektu (słabe) + słabe zaangażowanie w zajęcia + bierne uczestnictwo na zajęciach</w:t>
            </w:r>
          </w:p>
        </w:tc>
      </w:tr>
      <w:tr w:rsidR="00C15F50" w:rsidRPr="00341AC4" w14:paraId="11404FDC" w14:textId="77777777" w:rsidTr="005A08B5">
        <w:trPr>
          <w:jc w:val="center"/>
        </w:trPr>
        <w:tc>
          <w:tcPr>
            <w:tcW w:w="953" w:type="dxa"/>
          </w:tcPr>
          <w:p w14:paraId="684786CB" w14:textId="64E3E01F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0F1709A0" w:rsidR="00C15F50" w:rsidRPr="00C15F50" w:rsidRDefault="00C15F50" w:rsidP="00C15F5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Przygotowanie prezentacji i projektu (przeciętne)+ przeciętne zaangażowanie w zajęcia + aktywne uczestnictwo w zajęciach</w:t>
            </w:r>
          </w:p>
        </w:tc>
      </w:tr>
      <w:tr w:rsidR="00C15F50" w:rsidRPr="00341AC4" w14:paraId="7B8C31F7" w14:textId="77777777" w:rsidTr="005A08B5">
        <w:trPr>
          <w:jc w:val="center"/>
        </w:trPr>
        <w:tc>
          <w:tcPr>
            <w:tcW w:w="953" w:type="dxa"/>
          </w:tcPr>
          <w:p w14:paraId="6B4477CC" w14:textId="1CB33891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01D9015E" w:rsidR="00C15F50" w:rsidRPr="00C15F50" w:rsidRDefault="00C15F50" w:rsidP="00C15F5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Przygotowanie prezentacji i projektu (dobre)+ duże zaangażowanie w zajęcia + aktywne uczestnictwo w zajęciach</w:t>
            </w:r>
          </w:p>
        </w:tc>
      </w:tr>
      <w:tr w:rsidR="00C15F50" w:rsidRPr="00341AC4" w14:paraId="53052AEB" w14:textId="77777777" w:rsidTr="005A08B5">
        <w:trPr>
          <w:jc w:val="center"/>
        </w:trPr>
        <w:tc>
          <w:tcPr>
            <w:tcW w:w="953" w:type="dxa"/>
          </w:tcPr>
          <w:p w14:paraId="4C65D833" w14:textId="37FCA98B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7D161623" w:rsidR="00C15F50" w:rsidRPr="00C15F50" w:rsidRDefault="00C15F50" w:rsidP="00C15F5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Przygotowanie prezentacji i projektu (bardzo dobre)+ bardzo duże zaangażowanie w zajęcia + aktywne uczestnictwo w zajęciach.</w:t>
            </w:r>
          </w:p>
        </w:tc>
      </w:tr>
      <w:tr w:rsidR="00C15F50" w:rsidRPr="00341AC4" w14:paraId="59CC13F9" w14:textId="77777777" w:rsidTr="005A08B5">
        <w:trPr>
          <w:jc w:val="center"/>
        </w:trPr>
        <w:tc>
          <w:tcPr>
            <w:tcW w:w="953" w:type="dxa"/>
          </w:tcPr>
          <w:p w14:paraId="084C6C17" w14:textId="089DBAF5" w:rsidR="00C15F50" w:rsidRPr="00341AC4" w:rsidRDefault="00C15F50" w:rsidP="00C15F5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535C3640" w:rsidR="00C15F50" w:rsidRPr="00C15F50" w:rsidRDefault="00C15F50" w:rsidP="00C15F50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15F50">
              <w:rPr>
                <w:b w:val="0"/>
                <w:bCs w:val="0"/>
              </w:rPr>
              <w:t>Przygotowanie prezentacji i projektu (wzorowe)+ bardzo duże zaangażowanie w zajęcia + aktywne uczestnictwo w zajęciach.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215237C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8F8D72D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30E477E4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7310800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D17EA8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4E2653C2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53A9927D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7779390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6501843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5160B7D8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4AA2F6BF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783728C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7D4A9B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13E466CC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2A9BB276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C6C3C8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  <w:r w:rsidR="00C15F5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40A6D18A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2ED680EE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F5BA3E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4B078240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E098BC8" w14:textId="5309C655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429312F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CE78105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B5092D2" w:rsidR="001106D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84D929B" w:rsidR="00896E3C" w:rsidRPr="00341AC4" w:rsidRDefault="00C15F5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1C4685"/>
    <w:multiLevelType w:val="hybridMultilevel"/>
    <w:tmpl w:val="639A91B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58D44F1"/>
    <w:multiLevelType w:val="hybridMultilevel"/>
    <w:tmpl w:val="08A8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2F469C9"/>
    <w:multiLevelType w:val="hybridMultilevel"/>
    <w:tmpl w:val="1D7A2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05B1FFB"/>
    <w:multiLevelType w:val="hybridMultilevel"/>
    <w:tmpl w:val="B05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7"/>
  </w:num>
  <w:num w:numId="5" w16cid:durableId="317153656">
    <w:abstractNumId w:val="2"/>
  </w:num>
  <w:num w:numId="6" w16cid:durableId="697508460">
    <w:abstractNumId w:val="35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3"/>
  </w:num>
  <w:num w:numId="13" w16cid:durableId="241456231">
    <w:abstractNumId w:val="12"/>
  </w:num>
  <w:num w:numId="14" w16cid:durableId="1594127586">
    <w:abstractNumId w:val="30"/>
  </w:num>
  <w:num w:numId="15" w16cid:durableId="486363350">
    <w:abstractNumId w:val="32"/>
  </w:num>
  <w:num w:numId="16" w16cid:durableId="1811939460">
    <w:abstractNumId w:val="31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9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7"/>
  </w:num>
  <w:num w:numId="37" w16cid:durableId="1341857005">
    <w:abstractNumId w:val="24"/>
  </w:num>
  <w:num w:numId="38" w16cid:durableId="1569000667">
    <w:abstractNumId w:val="29"/>
  </w:num>
  <w:num w:numId="39" w16cid:durableId="905798222">
    <w:abstractNumId w:val="9"/>
  </w:num>
  <w:num w:numId="40" w16cid:durableId="578366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1170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25C2"/>
    <w:rsid w:val="005D2A79"/>
    <w:rsid w:val="005D3DF3"/>
    <w:rsid w:val="005E156F"/>
    <w:rsid w:val="005F0097"/>
    <w:rsid w:val="005F3556"/>
    <w:rsid w:val="00621E17"/>
    <w:rsid w:val="00625795"/>
    <w:rsid w:val="0063189F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F50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4715D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9</cp:revision>
  <cp:lastPrinted>2025-10-28T07:51:00Z</cp:lastPrinted>
  <dcterms:created xsi:type="dcterms:W3CDTF">2025-12-11T11:01:00Z</dcterms:created>
  <dcterms:modified xsi:type="dcterms:W3CDTF">2026-04-14T19:23:00Z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