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6889" w:hanging="6889"/>
        <w:jc w:val="right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cstheme="minorHAnsi" w:ascii="Calibri" w:hAnsi="Calibri"/>
          <w:iCs/>
          <w:color w:val="000000" w:themeColor="text1"/>
          <w:sz w:val="24"/>
          <w:szCs w:val="24"/>
        </w:rPr>
      </w:r>
    </w:p>
    <w:p>
      <w:pPr>
        <w:pStyle w:val="Nagwek1"/>
        <w:spacing w:lineRule="auto" w:line="276" w:before="240" w:after="360"/>
        <w:jc w:val="center"/>
        <w:rPr>
          <w:rFonts w:ascii="Calibri" w:hAnsi="Calibri" w:cs="Calibri" w:asciiTheme="minorHAnsi" w:cstheme="minorHAnsi" w:hAnsiTheme="minorHAnsi"/>
          <w:b/>
          <w:bCs/>
          <w:iCs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b/>
          <w:bCs/>
          <w:iCs/>
          <w:color w:val="auto"/>
        </w:rPr>
        <w:t xml:space="preserve">KARTA 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>PRZEDMIOTU (ZAJĘĆ)</w:t>
      </w:r>
    </w:p>
    <w:p>
      <w:pPr>
        <w:pStyle w:val="Tretekstu"/>
        <w:tabs>
          <w:tab w:val="clear" w:pos="720"/>
          <w:tab w:val="left" w:pos="10065" w:leader="dot"/>
        </w:tabs>
        <w:spacing w:lineRule="auto" w:line="276" w:before="240" w:after="240"/>
        <w:ind w:left="425" w:hanging="0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eastAsia="宋体"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  <w:lang w:val="pl-PL" w:eastAsia="pl-PL" w:bidi="pl-PL"/>
        </w:rPr>
        <w:t xml:space="preserve"> </w:t>
      </w:r>
      <w:r>
        <w:rPr>
          <w:rFonts w:eastAsia="宋体" w:cs="" w:ascii="Calibri" w:hAnsi="Calibri"/>
          <w:b/>
          <w:bCs/>
          <w:i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>0388.3.PED1.F.MRK</w:t>
      </w:r>
    </w:p>
    <w:p>
      <w:pPr>
        <w:pStyle w:val="Nagwek3"/>
        <w:spacing w:lineRule="auto" w:line="276"/>
        <w:ind w:firstLine="426"/>
        <w:rPr>
          <w:rFonts w:ascii="Calibri" w:hAnsi="Calibri" w:cs="Calibri" w:asciiTheme="minorHAnsi" w:cstheme="minorHAnsi" w:hAnsiTheme="minorHAnsi"/>
          <w:b/>
          <w:bCs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 xml:space="preserve">(zajęć) </w:t>
      </w:r>
      <w:bookmarkEnd w:id="0"/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>w języku polski</w:t>
      </w:r>
      <w:r>
        <w:rPr>
          <w:rFonts w:eastAsia="宋体" w:cs="" w:ascii="Calibri" w:hAnsi="Calibri"/>
          <w:b/>
          <w:bCs/>
          <w:i w:val="false"/>
          <w:iCs/>
          <w:color w:val="000000" w:themeColor="text1"/>
          <w:sz w:val="24"/>
          <w:szCs w:val="24"/>
          <w:lang w:val="pl-PL" w:eastAsia="pl-PL" w:bidi="pl-PL"/>
        </w:rPr>
        <w:t>m: Mediacje i rozwiązywanie konfliktów</w:t>
      </w:r>
    </w:p>
    <w:p>
      <w:pPr>
        <w:pStyle w:val="Styl1"/>
        <w:spacing w:lineRule="auto" w:line="276"/>
        <w:ind w:firstLine="426"/>
        <w:rPr>
          <w:rFonts w:ascii="Calibri" w:hAnsi="Calibri" w:eastAsia="宋体" w:cs=""/>
          <w:b/>
          <w:bCs/>
          <w:i w:val="false"/>
          <w:i w:val="false"/>
          <w:iCs/>
          <w:color w:val="000000" w:themeColor="text1"/>
          <w:sz w:val="24"/>
          <w:szCs w:val="24"/>
          <w:lang w:val="pl-PL" w:eastAsia="pl-PL" w:bidi="pl-PL"/>
        </w:rPr>
      </w:pPr>
      <w:r>
        <w:rPr>
          <w:rFonts w:eastAsia="宋体" w:cs=""/>
          <w:b/>
          <w:bCs/>
          <w:i w:val="false"/>
          <w:iCs/>
          <w:color w:val="000000" w:themeColor="text1"/>
          <w:sz w:val="24"/>
          <w:szCs w:val="24"/>
          <w:lang w:val="pl-PL" w:eastAsia="pl-PL" w:bidi="pl-PL"/>
        </w:rPr>
        <w:t xml:space="preserve">Nazwa przedmiotu (zajęć) w języku angielskim: </w:t>
      </w:r>
      <w:r>
        <w:rPr>
          <w:rFonts w:eastAsia="宋体" w:cs=""/>
          <w:b/>
          <w:bCs/>
          <w:i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>Mediation and conflict resolution</w:t>
      </w:r>
    </w:p>
    <w:p>
      <w:pPr>
        <w:pStyle w:val="Nagwek2"/>
        <w:numPr>
          <w:ilvl w:val="0"/>
          <w:numId w:val="1"/>
        </w:numPr>
        <w:shd w:val="clear" w:color="auto" w:fill="auto"/>
        <w:snapToGrid w:val="false"/>
        <w:spacing w:lineRule="auto" w:line="276" w:before="240" w:after="120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741"/>
        <w:gridCol w:w="5005"/>
      </w:tblGrid>
      <w:tr>
        <w:trPr>
          <w:trHeight w:val="282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</w:rPr>
              <w:t>Pedagogika</w:t>
            </w:r>
          </w:p>
        </w:tc>
      </w:tr>
      <w:tr>
        <w:trPr>
          <w:trHeight w:val="28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>stacjonarne/niestacjonarne</w:t>
            </w:r>
          </w:p>
        </w:tc>
      </w:tr>
      <w:tr>
        <w:trPr>
          <w:trHeight w:val="28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 w:themeColor="text1"/>
                <w:kern w:val="0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 xml:space="preserve">Pierwszego stopnia - licencjackie </w:t>
            </w:r>
          </w:p>
        </w:tc>
      </w:tr>
      <w:tr>
        <w:trPr>
          <w:trHeight w:val="28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>Ogólnoakademicki</w:t>
            </w:r>
          </w:p>
        </w:tc>
      </w:tr>
      <w:tr>
        <w:trPr>
          <w:trHeight w:val="282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>Monika Wojtkowiak</w:t>
            </w:r>
          </w:p>
        </w:tc>
      </w:tr>
      <w:tr>
        <w:trPr>
          <w:trHeight w:val="28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>mwojtkowiak@ujk.edu.pl</w:t>
            </w:r>
          </w:p>
        </w:tc>
      </w:tr>
    </w:tbl>
    <w:p>
      <w:pPr>
        <w:pStyle w:val="Nagwek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67"/>
        <w:gridCol w:w="6279"/>
      </w:tblGrid>
      <w:tr>
        <w:trPr>
          <w:trHeight w:val="285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ind w:left="487" w:hanging="357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polski</w:t>
            </w:r>
          </w:p>
        </w:tc>
      </w:tr>
      <w:tr>
        <w:trPr>
          <w:trHeight w:val="282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ind w:left="489" w:hanging="36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Podstawowa wiedza i umiejętności z zakresu pedagogiki ogólnej, socjologii</w:t>
            </w:r>
          </w:p>
        </w:tc>
      </w:tr>
    </w:tbl>
    <w:p>
      <w:pPr>
        <w:pStyle w:val="Nagwek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66"/>
        <w:gridCol w:w="6279"/>
      </w:tblGrid>
      <w:tr>
        <w:trPr>
          <w:trHeight w:val="285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left="489" w:hanging="360"/>
              <w:jc w:val="left"/>
              <w:rPr>
                <w:rFonts w:ascii="Calibri" w:hAnsi="Calibri" w:eastAsia="Times New Roman" w:cs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31" w:hanging="0"/>
              <w:jc w:val="left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wykłady/ćwiczenia</w:t>
            </w:r>
          </w:p>
        </w:tc>
      </w:tr>
      <w:tr>
        <w:trPr>
          <w:trHeight w:val="282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left="489" w:hanging="36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183" w:hanging="0"/>
              <w:jc w:val="left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Pomieszczenia dydaktyczne UJK </w:t>
            </w:r>
          </w:p>
        </w:tc>
      </w:tr>
      <w:tr>
        <w:trPr>
          <w:trHeight w:val="285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left="489" w:hanging="36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183" w:hanging="0"/>
              <w:jc w:val="left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zaliczenie z oceną</w:t>
            </w:r>
          </w:p>
        </w:tc>
      </w:tr>
      <w:tr>
        <w:trPr>
          <w:trHeight w:val="282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left="489" w:hanging="36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183" w:hanging="0"/>
              <w:jc w:val="left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Wkład, Metody sytuacyjne, scenki, dyskusja</w:t>
            </w:r>
          </w:p>
        </w:tc>
      </w:tr>
      <w:tr>
        <w:trPr>
          <w:trHeight w:val="285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72" w:hanging="142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  <w:lang w:val="pl-PL"/>
              </w:rPr>
              <w:t xml:space="preserve">Chełpa,S. i Witkowski,T. (2015). Psychologia konfliktów. Praktyka radzenia sobie ze sporami. </w:t>
            </w:r>
            <w:r>
              <w:rPr>
                <w:rFonts w:cs="Times New Roman" w:ascii="Calibri" w:hAnsi="Calibri"/>
                <w:color w:val="000000"/>
                <w:sz w:val="21"/>
                <w:szCs w:val="21"/>
                <w:lang w:val="en-US"/>
              </w:rPr>
              <w:t xml:space="preserve">Wydawnictwo: Bez maski. 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  <w:lang w:val="en-US"/>
              </w:rPr>
              <w:t xml:space="preserve">Lieberman, M. A. i Fisher, L. (1999). </w:t>
            </w:r>
            <w:r>
              <w:rPr>
                <w:rFonts w:cs="Times New Roman" w:ascii="Calibri" w:hAnsi="Calibri"/>
                <w:color w:val="000000"/>
                <w:sz w:val="21"/>
                <w:szCs w:val="21"/>
                <w:lang w:val="es-ES"/>
              </w:rPr>
              <w:t xml:space="preserve">The effects of family conflict resolution and decision making on the provision of help for an elder with Alzheimer's disease. </w:t>
            </w: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The Gerontologist, 39(2), 159-166.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Linehan,M.M.(2016). Terapia dialektyczno-behawioralna.Trening umiejętności. Kraków:UJ.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Nierenberg G.(2004) Sztuka negocjacji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Przybyła-Basista, H. (2002). Proces mediacji rodzinnych–od teorii do praktyki.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Szukalski, P. (2006). Zagrożenie czy wyzwanie–proces starzenia się ludności.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Tusznio S, Wojtkowiak M. (2004) , Mediacje i negocjacje jako sposób rozwiązywania konfliktów, Kielce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Więcek-Janka, E. (2003). Dylematy symulacji konfliktów. Prace Naukowe Instytutu Organizacji i Zarządzania Politechniki Wrocławskiej. Studia i Materiały, 74(15), 227-235.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Wojciszke,B. (2011). Psychologia społeczna. Warszawa: Scholar.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Wojtkowiak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http://delibra.bg.polsl.pl/Content/33776/BCPS_37680_2011_Konflikt-interperson.pdf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http://www.csipb.pl/index.php?page=konflikty-i-sposoby-ich-rozwiazywania</w:t>
            </w:r>
          </w:p>
        </w:tc>
      </w:tr>
      <w:tr>
        <w:trPr>
          <w:trHeight w:val="285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72" w:hanging="142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 xml:space="preserve">Gojny, M., &amp; Zbierowski, P. (2015). Intermentoring pokoleniowy jako metoda walki z konsekwencjami procesu starzenia się społeczeństwa w organizacjach. </w:t>
            </w:r>
            <w:r>
              <w:rPr>
                <w:rFonts w:cs="Times New Roman" w:ascii="Calibri" w:hAnsi="Calibri"/>
                <w:color w:val="000000"/>
                <w:sz w:val="21"/>
                <w:szCs w:val="21"/>
                <w:lang w:val="en-US"/>
              </w:rPr>
              <w:t>International Journal of Contemporary Management, 12(2).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  <w:lang w:val="en-US"/>
              </w:rPr>
              <w:t xml:space="preserve">Humańska, M. A., &amp; Kędziora-Kornatowska, K. (2009). </w:t>
            </w: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Współzależność pomiędzy nasileniem stanów depresyjnych a poczuciem jakości życia u osób starszych. Psychogeriatria Polska, 6(1), 15-22.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Laurell, S., &amp; Bohm, F. (2014). Rozwiązywanie konfliktów: praktyczny poradnik dla pracodawców i menedżerów. BL Info Polska Sp. z oo.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Trempała, J., &amp; Zając-Lamparska, L. (2007). Postawy wobec osób starszych: różnice międzypokoleniowe. Przegląd psychologiczny, 4, 447-462.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Strony internetowe: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http://poradnia.swidnik.pl/artykuly/rozwiazywanie-konfliktow-metoda-mediacji</w:t>
            </w:r>
          </w:p>
        </w:tc>
      </w:tr>
    </w:tbl>
    <w:p>
      <w:pPr>
        <w:pStyle w:val="Nagwek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left="1134" w:hanging="567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>
      <w:pPr>
        <w:pStyle w:val="TableParagraph"/>
        <w:numPr>
          <w:ilvl w:val="0"/>
          <w:numId w:val="0"/>
        </w:numPr>
        <w:snapToGrid w:val="false"/>
        <w:spacing w:lineRule="auto" w:line="276"/>
        <w:ind w:left="1134" w:hanging="0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Wykład</w:t>
      </w:r>
    </w:p>
    <w:p>
      <w:pPr>
        <w:pStyle w:val="Normal"/>
        <w:numPr>
          <w:ilvl w:val="0"/>
          <w:numId w:val="0"/>
        </w:numPr>
        <w:ind w:left="360" w:hanging="0"/>
        <w:rPr>
          <w:sz w:val="24"/>
          <w:szCs w:val="24"/>
        </w:rPr>
      </w:pPr>
      <w:r>
        <w:rPr>
          <w:rFonts w:eastAsia="Times New Roman" w:cs="Calibri" w:ascii="Calibri" w:hAnsi="Calibri" w:cstheme="minorHAnsi"/>
          <w:iCs/>
          <w:color w:val="000000" w:themeColor="text1"/>
          <w:kern w:val="0"/>
          <w:sz w:val="24"/>
          <w:szCs w:val="24"/>
          <w:lang w:val="pl-PL" w:eastAsia="pl-PL" w:bidi="pl-PL"/>
        </w:rPr>
        <w:t>C1.  Zapoznanie słuchaczy z typologią konfliktów, trudnościami definicyjnymi oraz uwarunkowaniami sytuacji konfliktowej.</w:t>
      </w:r>
    </w:p>
    <w:p>
      <w:pPr>
        <w:pStyle w:val="Normal"/>
        <w:numPr>
          <w:ilvl w:val="0"/>
          <w:numId w:val="0"/>
        </w:numPr>
        <w:ind w:left="360" w:hanging="0"/>
        <w:rPr>
          <w:sz w:val="24"/>
          <w:szCs w:val="24"/>
        </w:rPr>
      </w:pPr>
      <w:r>
        <w:rPr>
          <w:rFonts w:eastAsia="Times New Roman" w:cs="Calibri" w:ascii="Calibri" w:hAnsi="Calibri" w:cstheme="minorHAnsi"/>
          <w:iCs/>
          <w:color w:val="000000" w:themeColor="text1"/>
          <w:kern w:val="0"/>
          <w:sz w:val="24"/>
          <w:szCs w:val="24"/>
          <w:lang w:val="pl-PL" w:eastAsia="pl-PL" w:bidi="pl-PL"/>
        </w:rPr>
        <w:t>C2.Zaprezentowanie konfliktu z perspektywy psychologicznej Ukazanie konfliktów w szerszej skali- jako konfliktów międzypokoleniowych, społecznych.</w:t>
      </w:r>
    </w:p>
    <w:p>
      <w:pPr>
        <w:pStyle w:val="Normal"/>
        <w:numPr>
          <w:ilvl w:val="0"/>
          <w:numId w:val="0"/>
        </w:numPr>
        <w:ind w:left="360" w:hanging="0"/>
        <w:rPr>
          <w:sz w:val="24"/>
          <w:szCs w:val="24"/>
        </w:rPr>
      </w:pPr>
      <w:r>
        <w:rPr>
          <w:rFonts w:eastAsia="Times New Roman" w:cs="Calibri" w:ascii="Calibri" w:hAnsi="Calibri" w:cstheme="minorHAnsi"/>
          <w:iCs/>
          <w:color w:val="000000" w:themeColor="text1"/>
          <w:kern w:val="0"/>
          <w:sz w:val="24"/>
          <w:szCs w:val="24"/>
          <w:lang w:val="pl-PL" w:eastAsia="pl-PL" w:bidi="pl-PL"/>
        </w:rPr>
        <w:t>C3. Zaprezentowanie sposobów radzenia sobie z konfliktami, strategii rozwiązywania problemów Przedstawienie specyfiki konfliktów doświadczanych przez osoby w podeszłym wieku.</w:t>
      </w:r>
    </w:p>
    <w:p>
      <w:pPr>
        <w:pStyle w:val="TableParagraph"/>
        <w:numPr>
          <w:ilvl w:val="0"/>
          <w:numId w:val="0"/>
        </w:numPr>
        <w:snapToGrid w:val="false"/>
        <w:spacing w:lineRule="auto" w:line="276"/>
        <w:ind w:left="1134" w:hanging="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Ćwiczenia</w:t>
      </w:r>
    </w:p>
    <w:p>
      <w:pPr>
        <w:pStyle w:val="TableParagraph"/>
        <w:widowControl w:val="false"/>
        <w:numPr>
          <w:ilvl w:val="0"/>
          <w:numId w:val="0"/>
        </w:numPr>
        <w:suppressAutoHyphens w:val="true"/>
        <w:bidi w:val="0"/>
        <w:snapToGrid w:val="false"/>
        <w:spacing w:lineRule="auto" w:line="276" w:before="0" w:after="0"/>
        <w:ind w:left="397" w:right="0" w:hanging="0"/>
        <w:jc w:val="left"/>
        <w:rPr>
          <w:sz w:val="24"/>
          <w:szCs w:val="24"/>
        </w:rPr>
      </w:pPr>
      <w:r>
        <w:rPr>
          <w:rFonts w:cs="Times New Roman" w:ascii="Calibri" w:hAnsi="Calibri"/>
          <w:bCs/>
          <w:color w:val="000000"/>
          <w:sz w:val="24"/>
          <w:szCs w:val="24"/>
        </w:rPr>
        <w:t>C1.Opanowanie umiejętności diagnozowania źródła konfliktu w sytuacji interpersonalnej oraz określania barier i zasobów do jego rozwiązania</w:t>
      </w:r>
    </w:p>
    <w:p>
      <w:pPr>
        <w:pStyle w:val="TableParagraph"/>
        <w:widowControl w:val="false"/>
        <w:numPr>
          <w:ilvl w:val="0"/>
          <w:numId w:val="0"/>
        </w:numPr>
        <w:suppressAutoHyphens w:val="true"/>
        <w:bidi w:val="0"/>
        <w:snapToGrid w:val="false"/>
        <w:spacing w:lineRule="auto" w:line="276" w:before="0" w:after="0"/>
        <w:ind w:left="397" w:right="0" w:hanging="0"/>
        <w:jc w:val="left"/>
        <w:rPr>
          <w:sz w:val="24"/>
          <w:szCs w:val="24"/>
        </w:rPr>
      </w:pPr>
      <w:r>
        <w:rPr>
          <w:rFonts w:cs="Times New Roman" w:ascii="Calibri" w:hAnsi="Calibri"/>
          <w:bCs/>
          <w:color w:val="000000"/>
          <w:sz w:val="24"/>
          <w:szCs w:val="24"/>
        </w:rPr>
        <w:t>C2. Umiejętność projektowania interwencji nakierowanych na poprawianie decyzyjności, asertywności oraz regulacji emocjonalnej osób w podeszłym wieku</w:t>
      </w:r>
    </w:p>
    <w:p>
      <w:pPr>
        <w:pStyle w:val="TableParagraph"/>
        <w:widowControl w:val="false"/>
        <w:numPr>
          <w:ilvl w:val="0"/>
          <w:numId w:val="0"/>
        </w:numPr>
        <w:suppressAutoHyphens w:val="true"/>
        <w:bidi w:val="0"/>
        <w:snapToGrid w:val="false"/>
        <w:spacing w:lineRule="auto" w:line="276" w:before="0" w:after="0"/>
        <w:ind w:left="397" w:right="0" w:hanging="0"/>
        <w:jc w:val="left"/>
        <w:rPr>
          <w:sz w:val="24"/>
          <w:szCs w:val="24"/>
        </w:rPr>
      </w:pPr>
      <w:r>
        <w:rPr>
          <w:rFonts w:cs="Times New Roman" w:ascii="Calibri" w:hAnsi="Calibri"/>
          <w:bCs/>
          <w:color w:val="000000"/>
          <w:sz w:val="24"/>
          <w:szCs w:val="24"/>
        </w:rPr>
        <w:t>C3. Umiejętność scharakteryzowania podstawowych potrzeb i ograniczeń osób w podeszłym wieku z uwagi na ich okres rozwojowy zgodnie z koncepcją life-span.</w:t>
      </w:r>
    </w:p>
    <w:p>
      <w:pPr>
        <w:pStyle w:val="TableParagraph"/>
        <w:widowControl w:val="false"/>
        <w:numPr>
          <w:ilvl w:val="0"/>
          <w:numId w:val="0"/>
        </w:numPr>
        <w:suppressAutoHyphens w:val="true"/>
        <w:bidi w:val="0"/>
        <w:snapToGrid w:val="false"/>
        <w:spacing w:lineRule="auto" w:line="276" w:before="0" w:after="0"/>
        <w:ind w:left="397" w:right="0" w:hanging="0"/>
        <w:jc w:val="left"/>
        <w:rPr>
          <w:sz w:val="24"/>
          <w:szCs w:val="24"/>
        </w:rPr>
      </w:pPr>
      <w:r>
        <w:rPr>
          <w:rFonts w:eastAsia="Times New Roman" w:cs="Times New Roman" w:ascii="Calibri" w:hAnsi="Calibri" w:asciiTheme="minorHAnsi" w:hAnsiTheme="minorHAns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C4. Projektowanie działań wspierających nakierowanych na rodzinę osoby w podeszłym wieku.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left="1134" w:hanging="567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>
      <w:pPr>
        <w:pStyle w:val="Normal"/>
        <w:ind w:left="498" w:hanging="0"/>
        <w:rPr>
          <w:sz w:val="24"/>
          <w:szCs w:val="24"/>
        </w:rPr>
      </w:pPr>
      <w:r>
        <w:rPr>
          <w:rFonts w:eastAsia="Times New Roman" w:cs="Calibri" w:ascii="Calibri" w:hAnsi="Calibri" w:cstheme="minorHAnsi"/>
          <w:b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Wykład:</w:t>
      </w:r>
    </w:p>
    <w:p>
      <w:pPr>
        <w:pStyle w:val="Normal"/>
        <w:rPr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>1.Uwarunkowania sytuacji konfliktowych, rodzaje konfliktów.</w:t>
      </w:r>
    </w:p>
    <w:p>
      <w:pPr>
        <w:pStyle w:val="Normal"/>
        <w:rPr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>2.Analiza konfliktów z perspektywy mikro- i makro-.</w:t>
      </w:r>
    </w:p>
    <w:p>
      <w:pPr>
        <w:pStyle w:val="Normal"/>
        <w:ind w:left="498" w:hanging="498"/>
        <w:rPr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>3. Style postępowania w sytuacjach konfliktowych</w:t>
      </w:r>
    </w:p>
    <w:p>
      <w:pPr>
        <w:pStyle w:val="Normal"/>
        <w:ind w:left="498" w:hanging="498"/>
        <w:rPr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 xml:space="preserve">4.Przyczyny konfliktów interpersonalnych osób starszych- zagrożenia związane z instytucjonalizacją </w:t>
      </w:r>
    </w:p>
    <w:p>
      <w:pPr>
        <w:pStyle w:val="Normal"/>
        <w:ind w:left="498" w:hanging="498"/>
        <w:rPr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 xml:space="preserve">5.Strategie rozwiązywania problemów </w:t>
      </w:r>
    </w:p>
    <w:p>
      <w:pPr>
        <w:pStyle w:val="Normal"/>
        <w:rPr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 xml:space="preserve">6.Biologiczne i psychologiczne uwarunkowania trudności osób starszych w rozwiązywaniu konfliktów </w:t>
      </w:r>
    </w:p>
    <w:p>
      <w:pPr>
        <w:pStyle w:val="Normal"/>
        <w:ind w:left="498" w:hanging="498"/>
        <w:rPr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>7.Osoby starsze a konflikty rodzinne- przyczyny, charakterystyka i sposoby radzenia sobie.</w:t>
      </w:r>
    </w:p>
    <w:p>
      <w:pPr>
        <w:pStyle w:val="Normal"/>
        <w:ind w:left="498" w:hanging="498"/>
        <w:rPr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>8.Wprowadzenie w tematykę mediacji- kwestie definicyjne, rodzaje, specyfika.</w:t>
      </w:r>
    </w:p>
    <w:p>
      <w:pPr>
        <w:pStyle w:val="Normal"/>
        <w:ind w:left="498" w:hanging="498"/>
        <w:rPr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>9.Prowadzenie skutecznej mediacji- warunki, charakterystyka osobowościowa.</w:t>
      </w:r>
    </w:p>
    <w:p>
      <w:pPr>
        <w:pStyle w:val="Normal"/>
        <w:ind w:left="498" w:hanging="498"/>
        <w:rPr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>10.Skuteczność interpersonalna, a rozwiązywanie konfliktów.</w:t>
      </w:r>
    </w:p>
    <w:p>
      <w:pPr>
        <w:pStyle w:val="Normal"/>
        <w:ind w:left="498" w:hanging="498"/>
        <w:rPr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>11.Radzenie sobie ze złością w kontekście relacji z innymi.</w:t>
      </w:r>
    </w:p>
    <w:p>
      <w:pPr>
        <w:pStyle w:val="Normal"/>
        <w:ind w:left="498" w:hanging="498"/>
        <w:rPr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>12.Pozycja społeczna osób starszych-stereotypy, uprzedzenia, źródła konfliktów</w:t>
      </w:r>
    </w:p>
    <w:p>
      <w:pPr>
        <w:pStyle w:val="Normal"/>
        <w:ind w:left="498" w:hanging="498"/>
        <w:rPr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>13. Interwencje społeczne kierowane do seniorów- analiza obszarów oddziaływania</w:t>
      </w:r>
    </w:p>
    <w:p>
      <w:pPr>
        <w:pStyle w:val="Normal"/>
        <w:ind w:left="498" w:hanging="498"/>
        <w:rPr>
          <w:rFonts w:ascii="Calibri" w:hAnsi="Calibri" w:cs="Times New Roman"/>
          <w:bCs/>
          <w:color w:val="000000"/>
          <w:sz w:val="24"/>
          <w:szCs w:val="24"/>
        </w:rPr>
      </w:pPr>
      <w:r>
        <w:rPr>
          <w:rFonts w:cs="Times New Roman" w:ascii="Calibri" w:hAnsi="Calibri"/>
          <w:bCs/>
          <w:color w:val="000000"/>
          <w:sz w:val="24"/>
          <w:szCs w:val="24"/>
        </w:rPr>
      </w:r>
    </w:p>
    <w:p>
      <w:pPr>
        <w:pStyle w:val="Normal"/>
        <w:ind w:left="498" w:hanging="498"/>
        <w:rPr>
          <w:sz w:val="24"/>
          <w:szCs w:val="24"/>
        </w:rPr>
      </w:pP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b/>
          <w:bCs/>
          <w:color w:val="000000"/>
          <w:sz w:val="24"/>
          <w:szCs w:val="24"/>
        </w:rPr>
        <w:tab/>
      </w:r>
      <w:r>
        <w:rPr>
          <w:rFonts w:cs="Times New Roman" w:ascii="Calibri" w:hAnsi="Calibri"/>
          <w:b/>
          <w:bCs/>
          <w:color w:val="000000"/>
          <w:sz w:val="24"/>
          <w:szCs w:val="24"/>
        </w:rPr>
        <w:t>Ćwiczenia:</w:t>
      </w:r>
    </w:p>
    <w:p>
      <w:pPr>
        <w:pStyle w:val="Normal"/>
        <w:ind w:left="498" w:hanging="498"/>
        <w:rPr>
          <w:sz w:val="24"/>
          <w:szCs w:val="24"/>
        </w:rPr>
      </w:pPr>
      <w:r>
        <w:rPr>
          <w:rFonts w:cs="Times New Roman" w:ascii="Calibri" w:hAnsi="Calibri"/>
          <w:bCs/>
          <w:color w:val="000000"/>
          <w:sz w:val="24"/>
          <w:szCs w:val="24"/>
        </w:rPr>
        <w:t>1.Określanie typów konfliktów na podstawie analizy materiałów multimedialnych. O konfliktach w codziennym życiu. Wyznaczniki konfliktu.</w:t>
      </w:r>
    </w:p>
    <w:p>
      <w:pPr>
        <w:pStyle w:val="Normal"/>
        <w:ind w:left="498" w:hanging="498"/>
        <w:rPr>
          <w:sz w:val="24"/>
          <w:szCs w:val="24"/>
        </w:rPr>
      </w:pPr>
      <w:r>
        <w:rPr>
          <w:rFonts w:cs="Times New Roman" w:ascii="Calibri" w:hAnsi="Calibri"/>
          <w:bCs/>
          <w:color w:val="000000"/>
          <w:sz w:val="24"/>
          <w:szCs w:val="24"/>
        </w:rPr>
        <w:t>2.Identyfikowanie przyczyn konfliktów interpersonalnych w kontekście funkcjonowania społecznego seniorów.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bCs/>
          <w:color w:val="000000"/>
          <w:sz w:val="24"/>
          <w:szCs w:val="24"/>
        </w:rPr>
        <w:t>3.Projektowanie działań interwencyjnych nakierowanych na rozwijanie zdolności do podejmowania decyzji, asertywności oraz radzenia sobie z trudnymi emocjami przez seniorów.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bCs/>
          <w:color w:val="000000"/>
          <w:sz w:val="24"/>
          <w:szCs w:val="24"/>
        </w:rPr>
        <w:t>4.Stosowanie poznanych metod rozwiązywania konfliktów do pracy na studiach przypadków.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bCs/>
          <w:color w:val="000000"/>
          <w:sz w:val="24"/>
          <w:szCs w:val="24"/>
        </w:rPr>
        <w:t>5.Dostosowywanie strategii rozwiązywania problemu do odbiorcy z uwagi na jego trudności i ograniczenia.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bCs/>
          <w:color w:val="000000"/>
          <w:sz w:val="24"/>
          <w:szCs w:val="24"/>
        </w:rPr>
        <w:t>6.Krytyczna analiza istniejących programów skierowanych do seniorów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bCs/>
          <w:color w:val="000000"/>
          <w:sz w:val="24"/>
          <w:szCs w:val="24"/>
        </w:rPr>
        <w:t xml:space="preserve">7.O roli mediatora- wymagania, cechy. Aspekty prawne.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bCs/>
          <w:color w:val="000000"/>
          <w:sz w:val="24"/>
          <w:szCs w:val="24"/>
        </w:rPr>
        <w:t>8.Stereotypy związane z „rolą” seniora- identyfikacja, krytyczna analiza, obalanie. Projektowanie działań ograniczających wpływ stereotypów osób w podeszłym wieku.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bCs/>
          <w:color w:val="000000"/>
          <w:sz w:val="24"/>
          <w:szCs w:val="24"/>
        </w:rPr>
        <w:t>9.Radzenie sobie z trudnymi emocjami- praktyczne ćwiczenia, wykorzystanie technik uważnościowych.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>10.Pokolenie „sandwiczy”-analiza zjawiska, projektowanie interwencji.</w:t>
      </w:r>
    </w:p>
    <w:p>
      <w:pPr>
        <w:pStyle w:val="Tretekstu"/>
        <w:spacing w:lineRule="auto" w:line="276"/>
        <w:ind w:hanging="0"/>
        <w:rPr/>
      </w:pPr>
      <w:r>
        <w:rPr/>
      </w:r>
    </w:p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left="1134" w:hanging="567"/>
        <w:rPr>
          <w:rFonts w:ascii="Calibri" w:hAnsi="Calibri" w:cs="Calibri" w:asciiTheme="minorHAnsi" w:cs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45"/>
        <w:gridCol w:w="6830"/>
        <w:gridCol w:w="1773"/>
      </w:tblGrid>
      <w:tr>
        <w:trPr>
          <w:trHeight w:val="980" w:hRule="atLeast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(symbol)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 xml:space="preserve">Student, który zaliczył </w:t>
            </w: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Odniesienie do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kierunkowych efektów uczenia się</w:t>
            </w:r>
          </w:p>
        </w:tc>
      </w:tr>
    </w:tbl>
    <w:p>
      <w:pPr>
        <w:pStyle w:val="Tretekstu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:shd w:fill="ECF1F8" w:val="clear"/>
        </w:rPr>
        <w:t>wiedzy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49"/>
        <w:gridCol w:w="6830"/>
        <w:gridCol w:w="1777"/>
      </w:tblGrid>
      <w:tr>
        <w:trPr>
          <w:trHeight w:val="282" w:hRule="atLeast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Zna procesy komunikowania interpersonalnego i społecznego, ich prawidłowości i zakłóceń, potrafi zdefiniować „konflikt” oraz wskazać jego rodzaje i uwarunkowania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PED1A_W12</w:t>
            </w:r>
          </w:p>
        </w:tc>
      </w:tr>
      <w:tr>
        <w:trPr>
          <w:trHeight w:val="285" w:hRule="atLeast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Zna charakterystykę uczestników działalności edukacyjnej, wychowawczej, opiekuńczej, kulturalnej i pomocowej, ma wiedzę na temat specyfiki funkcjonowania osób w podeszłym wieku ze szczególnym uwzględnieniem ich deficytów poznawczych, emocjonalnych i społecznych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cstheme="minorHAnsi" w:ascii="Calibri" w:hAnsi="Calibr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PED1A_W14</w:t>
            </w:r>
          </w:p>
        </w:tc>
      </w:tr>
      <w:tr>
        <w:trPr>
          <w:trHeight w:val="285" w:hRule="atLeast"/>
        </w:trPr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metodykę wykonywania typowych zadań, normy, procedury stosowane w różnych obszarach działalności pedagogicznej, posiada wiedzę na temat strategii zapobiegania konfliktom interpersonalnym 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PED1A_W21</w:t>
            </w:r>
            <w:r>
              <w:rPr>
                <w:rFonts w:eastAsia="Times New Roman" w:cs="Calibri" w:ascii="Calibri" w:hAnsi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 </w:t>
            </w:r>
          </w:p>
        </w:tc>
      </w:tr>
    </w:tbl>
    <w:p>
      <w:pPr>
        <w:pStyle w:val="Tretekstu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:shd w:fill="ECF1F8" w:val="clear"/>
        </w:rPr>
        <w:t>umiejętności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40"/>
        <w:gridCol w:w="6825"/>
        <w:gridCol w:w="1773"/>
      </w:tblGrid>
      <w:tr>
        <w:trPr>
          <w:trHeight w:val="285" w:hRule="atLeast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U01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Potrafi używać języka specjalistycznego i porozumiewać się w sposób precyzyjny i spójny przy użyciu różnych kanałów i technik komunikacyjnych ze specjalistami w zakresie pedagogiki, jak i z odbiorcami spoza grona specjalistów. Posiada umiejętności z zakresu skuteczności interpersonalnej: komunikacyjne, związane z asertywnością, rozwiązywaniem problemu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color w:val="000000"/>
                <w:sz w:val="20"/>
                <w:szCs w:val="20"/>
              </w:rPr>
              <w:t>PED1A_U12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322" w:hRule="atLeast"/>
        </w:trPr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animować prace nad rozwojem uczestników procesów pedagogicznych oraz wspierać ich samodzielność w zdobywaniu wiedzy, a także inspirować do działań na rzecz uczenia się przez całe życie , umie dostosować poznane strategie rozwiązywania konfliktów do odbiorcy z uwagi na jego potrzeby i możliwości i wdrażać podopiecznych do samodzielności w uczeniu się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color w:val="000000"/>
                <w:sz w:val="20"/>
                <w:szCs w:val="20"/>
              </w:rPr>
              <w:t>PED1A_U14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322" w:hRule="atLeast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ocenić przydatność typowych metod, procedur i dobrych praktyk do realizacji zadań związanych z różnymi sferami działalności pedagogicznej</w:t>
            </w:r>
            <w:r>
              <w:rPr>
                <w:rFonts w:cs="Times New Roman" w:ascii="Calibri" w:hAnsi="Calibri"/>
                <w:sz w:val="21"/>
                <w:szCs w:val="21"/>
              </w:rPr>
              <w:t xml:space="preserve"> </w:t>
            </w:r>
            <w:r>
              <w:rPr>
                <w:rFonts w:cs="Times New Roman" w:ascii="Calibri" w:hAnsi="Calibri"/>
                <w:color w:val="000000"/>
                <w:sz w:val="21"/>
                <w:szCs w:val="21"/>
              </w:rPr>
              <w:t>Potrafi wskazać przykładowe programy (polskie lub zagraniczne) nakierowane na zwiększenie decyzyjności seniorów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color w:val="000000"/>
                <w:sz w:val="20"/>
                <w:szCs w:val="20"/>
              </w:rPr>
              <w:t>PED1A_U10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322" w:hRule="atLeast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Potrafi dokonać analizy własnych umiejętności związanych z prowadzeniem mediacji i negocjacji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color w:val="000000"/>
                <w:sz w:val="20"/>
                <w:szCs w:val="20"/>
              </w:rPr>
              <w:t>PED1A_U16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Tretekstu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:shd w:fill="ECF1F8" w:val="clear"/>
        </w:rPr>
        <w:t>kompetencji społecznych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49"/>
        <w:gridCol w:w="6830"/>
        <w:gridCol w:w="1777"/>
      </w:tblGrid>
      <w:tr>
        <w:trPr>
          <w:trHeight w:val="282" w:hRule="atLeast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 xml:space="preserve">Jest gotów do świadomego oceniania poziomu swojej wiedzy i umiejętności, rozumie potrzebę ciągłego dokształcania się zawodowego i rozwoju osobistego, dokonuje samooceny własnych kompetencji i doskonali umiejętności, wyznacza kierunki własnego rozwoju i kształcenia, rozwija świadomość własnych procesów regulacji emocjonalnej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PED1A_K02 </w:t>
            </w:r>
          </w:p>
        </w:tc>
      </w:tr>
      <w:tr>
        <w:trPr>
          <w:trHeight w:val="282" w:hRule="atLeast"/>
        </w:trPr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rozwijania przekonania o sensie, wartości i potrzebie podejmowania działań pedagogicznych w środowisku społecznym; jest gotowy do podejmowania wyzwań zawodowych; wykazuje aktywność, podejmuje trud i odznacza się wytrwałością w realizacji indywidualnych i zespołowych działań profesjonalnych w zakresie pedagogiki, ma świadomość znaczenia interwencji skierowanych na radzenie sobie z konfliktami u seniorów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 </w:t>
            </w: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PED1A_K03</w:t>
            </w:r>
          </w:p>
        </w:tc>
      </w:tr>
    </w:tbl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left="1134" w:right="-20" w:hanging="567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2"/>
        <w:gridCol w:w="1231"/>
        <w:gridCol w:w="1231"/>
        <w:gridCol w:w="1228"/>
        <w:gridCol w:w="1227"/>
        <w:gridCol w:w="1228"/>
        <w:gridCol w:w="1228"/>
        <w:gridCol w:w="1224"/>
      </w:tblGrid>
      <w:tr>
        <w:trPr/>
        <w:tc>
          <w:tcPr>
            <w:tcW w:w="1242" w:type="dxa"/>
            <w:tcBorders/>
            <w:shd w:color="auto" w:fill="ECF1F8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0" w:right="-111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(symbol)</w:t>
            </w:r>
          </w:p>
        </w:tc>
        <w:tc>
          <w:tcPr>
            <w:tcW w:w="1231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Egzamin ustny/</w:t>
              <w:br/>
              <w:t>pisemny/</w:t>
              <w:br/>
              <w:t>praktyczny/</w:t>
              <w:br/>
              <w:t xml:space="preserve">inny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0"/>
                <w:szCs w:val="20"/>
              </w:rPr>
              <w:t>(jaki?)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*</w:t>
            </w:r>
          </w:p>
        </w:tc>
        <w:tc>
          <w:tcPr>
            <w:tcW w:w="123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Projekt*</w:t>
            </w:r>
          </w:p>
        </w:tc>
        <w:tc>
          <w:tcPr>
            <w:tcW w:w="122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Praca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w grupie*</w:t>
            </w:r>
          </w:p>
        </w:tc>
        <w:tc>
          <w:tcPr>
            <w:tcW w:w="1224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 xml:space="preserve">Inne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0"/>
                <w:szCs w:val="20"/>
              </w:rPr>
              <w:t>(jakie?)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*</w:t>
            </w:r>
          </w:p>
        </w:tc>
      </w:tr>
    </w:tbl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36"/>
        <w:gridCol w:w="408"/>
        <w:gridCol w:w="410"/>
        <w:gridCol w:w="408"/>
        <w:gridCol w:w="409"/>
        <w:gridCol w:w="413"/>
        <w:gridCol w:w="405"/>
        <w:gridCol w:w="412"/>
        <w:gridCol w:w="410"/>
        <w:gridCol w:w="408"/>
        <w:gridCol w:w="409"/>
        <w:gridCol w:w="412"/>
        <w:gridCol w:w="405"/>
        <w:gridCol w:w="409"/>
        <w:gridCol w:w="413"/>
        <w:gridCol w:w="405"/>
        <w:gridCol w:w="412"/>
        <w:gridCol w:w="410"/>
        <w:gridCol w:w="408"/>
        <w:gridCol w:w="409"/>
        <w:gridCol w:w="413"/>
        <w:gridCol w:w="397"/>
      </w:tblGrid>
      <w:tr>
        <w:trPr/>
        <w:tc>
          <w:tcPr>
            <w:tcW w:w="12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1: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2: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0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39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</w:tr>
      <w:tr>
        <w:trPr/>
        <w:tc>
          <w:tcPr>
            <w:tcW w:w="1236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W01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U01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U04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K01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5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</w:tbl>
    <w:p>
      <w:pPr>
        <w:pStyle w:val="Tretekstu"/>
        <w:spacing w:lineRule="auto" w:line="276" w:before="120" w:after="120"/>
        <w:rPr>
          <w:rFonts w:ascii="Calibri" w:hAnsi="Calibri" w:cs="Calibri" w:asciiTheme="minorHAnsi" w:cstheme="minorHAnsi" w:hAnsiTheme="minorHAnsi"/>
          <w:b w:val="false"/>
          <w:bCs w:val="false"/>
          <w:iCs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>Adnotacja. 1: forma zajęć; 2: efekty uczenia się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left="1134" w:hanging="567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Forma zajęć:</w:t>
      </w:r>
    </w:p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Wykład (W)</w:t>
      </w:r>
    </w:p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cstheme="minorHAnsi" w:ascii="Calibri" w:hAnsi="Calibri"/>
          <w:b/>
          <w:iCs/>
          <w:color w:val="000000" w:themeColor="text1"/>
          <w:sz w:val="24"/>
          <w:szCs w:val="24"/>
        </w:rPr>
      </w:r>
    </w:p>
    <w:tbl>
      <w:tblPr>
        <w:tblStyle w:val="Tabela-Siatka"/>
        <w:tblW w:w="98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"/>
        <w:gridCol w:w="8873"/>
      </w:tblGrid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Ocena</w:t>
            </w:r>
          </w:p>
        </w:tc>
        <w:tc>
          <w:tcPr>
            <w:tcW w:w="8873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3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50%; Student zdał kolokwium w stopniu dostatecznym 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3,5</w:t>
            </w:r>
          </w:p>
        </w:tc>
        <w:tc>
          <w:tcPr>
            <w:tcW w:w="8873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61%; Student zdał kolokwium w stopniu dostatecznym +, był aktywny na zajęciach 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3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71%; Student zdał kolokwium w stopniu dobrym, był aktywny na zajęciach 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4,5</w:t>
            </w:r>
          </w:p>
        </w:tc>
        <w:tc>
          <w:tcPr>
            <w:tcW w:w="8873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Od 81%; Student zdał kol</w:t>
            </w: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o</w:t>
            </w: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kwium w stopniu dobrym +, był aktywny na zajęciach 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3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91%Student zdał egzamin w stopniu bardzo dobrym, był aktywny na zajęciach </w:t>
            </w:r>
          </w:p>
        </w:tc>
      </w:tr>
    </w:tbl>
    <w:p>
      <w:pPr>
        <w:pStyle w:val="Normal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cs="Calibri" w:cstheme="minorHAnsi" w:ascii="Calibri" w:hAnsi="Calibri"/>
          <w:bCs/>
          <w:iCs/>
          <w:color w:val="000000" w:themeColor="text1"/>
          <w:sz w:val="24"/>
          <w:szCs w:val="24"/>
        </w:rPr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cs="Calibri" w:ascii="Calibri" w:hAnsi="Calibri" w:asciiTheme="minorHAnsi" w:cstheme="minorHAnsi" w:hAnsi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"/>
        <w:gridCol w:w="8873"/>
      </w:tblGrid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Ocena</w:t>
            </w:r>
          </w:p>
        </w:tc>
        <w:tc>
          <w:tcPr>
            <w:tcW w:w="8873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3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50%; Student zdał kolokwium w stopniu dostatecznym 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3,5</w:t>
            </w:r>
          </w:p>
        </w:tc>
        <w:tc>
          <w:tcPr>
            <w:tcW w:w="8873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61%; Student zdał kolokwium w stopniu dostatecznym +, był aktywny na zajęciach 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3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71%; Student zdał kolokwium w stopniu dobrym, był aktywny na zajęciach 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4,5</w:t>
            </w:r>
          </w:p>
        </w:tc>
        <w:tc>
          <w:tcPr>
            <w:tcW w:w="8873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Od 81%; Student zdał kol</w:t>
            </w: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o</w:t>
            </w: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kwium w stopniu dobrym +, był aktywny na zajęciach </w:t>
            </w:r>
          </w:p>
        </w:tc>
      </w:tr>
      <w:tr>
        <w:trPr/>
        <w:tc>
          <w:tcPr>
            <w:tcW w:w="949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3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91%Student zdał egzamin w stopniu bardzo dobrym, był aktywny na zajęciach </w:t>
            </w:r>
          </w:p>
        </w:tc>
      </w:tr>
    </w:tbl>
    <w:p>
      <w:pPr>
        <w:pStyle w:val="Nagwek2"/>
        <w:numPr>
          <w:ilvl w:val="0"/>
          <w:numId w:val="1"/>
        </w:numPr>
        <w:shd w:val="clear" w:color="auto" w:fill="auto"/>
        <w:spacing w:lineRule="auto" w:line="276" w:before="240" w:after="0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495"/>
        <w:gridCol w:w="2176"/>
        <w:gridCol w:w="2173"/>
      </w:tblGrid>
      <w:tr>
        <w:trPr>
          <w:trHeight w:val="460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Kategoria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84" w:right="81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84" w:right="81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Obciążenie studenta: studia niestacjonarne</w:t>
            </w:r>
          </w:p>
        </w:tc>
      </w:tr>
      <w:tr>
        <w:trPr>
          <w:trHeight w:val="412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45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30</w:t>
            </w:r>
          </w:p>
        </w:tc>
      </w:tr>
      <w:tr>
        <w:trPr>
          <w:trHeight w:val="282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Udział w wykładach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</w:tr>
      <w:tr>
        <w:trPr>
          <w:trHeight w:val="282" w:hRule="atLeast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kern w:val="0"/>
              </w:rPr>
              <w:t>Udział w ćwiczeniach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</w:tr>
      <w:tr>
        <w:trPr>
          <w:trHeight w:val="282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Przygotowanie do egzaminu/kolokwium*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</w:tr>
      <w:tr>
        <w:trPr>
          <w:trHeight w:val="282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ŁĄCZNA LICZBA GODZIN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50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PUNKTY ECTS za przedmiot (zajęcia)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</w:tr>
    </w:tbl>
    <w:p>
      <w:pPr>
        <w:pStyle w:val="Normal"/>
        <w:spacing w:lineRule="auto" w:line="276" w:before="360" w:after="120"/>
        <w:ind w:left="255" w:hanging="0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0"/>
          <w:szCs w:val="20"/>
        </w:rPr>
        <w:t>*niepotrzebne usunąć</w:t>
      </w:r>
    </w:p>
    <w:p>
      <w:pPr>
        <w:pStyle w:val="Normal"/>
        <w:spacing w:lineRule="auto" w:line="276" w:before="480" w:after="36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>
      <w:pPr>
        <w:pStyle w:val="Normal"/>
        <w:tabs>
          <w:tab w:val="clear" w:pos="720"/>
          <w:tab w:val="left" w:pos="10206" w:leader="dot"/>
        </w:tabs>
        <w:snapToGrid w:val="false"/>
        <w:spacing w:lineRule="auto" w:line="276" w:before="600" w:after="480"/>
        <w:ind w:firstLine="2268"/>
        <w:jc w:val="center"/>
        <w:rPr>
          <w:rFonts w:ascii="Calibri" w:hAnsi="Calibri" w:cs="Calibri" w:asciiTheme="minorHAnsi" w:cstheme="minorHAnsi" w:hAnsiTheme="minorHAnsi"/>
          <w:iCs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..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  <w:rPr/>
    </w:lvl>
  </w:abstractNum>
  <w:abstractNum w:abstractNumId="3"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  <w:rPr/>
    </w:lvl>
  </w:abstractNum>
  <w:abstractNum w:abstractNumId="4">
    <w:lvl w:ilvl="0">
      <w:start w:val="1"/>
      <w:numFmt w:val="decimal"/>
      <w:lvlText w:val="3.%1."/>
      <w:lvlJc w:val="left"/>
      <w:pPr>
        <w:tabs>
          <w:tab w:val="num" w:pos="0"/>
        </w:tabs>
        <w:ind w:left="93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63f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pl-PL" w:bidi="pl-PL"/>
    </w:rPr>
  </w:style>
  <w:style w:type="paragraph" w:styleId="Nagwek1">
    <w:name w:val="Heading 1"/>
    <w:basedOn w:val="Normal"/>
    <w:next w:val="Normal"/>
    <w:link w:val="Nagwek1Znak"/>
    <w:uiPriority w:val="9"/>
    <w:qFormat/>
    <w:rsid w:val="009d2d35"/>
    <w:pPr>
      <w:keepNext w:val="true"/>
      <w:keepLines/>
      <w:spacing w:before="240" w:after="0"/>
      <w:outlineLvl w:val="0"/>
    </w:pPr>
    <w:rPr>
      <w:rFonts w:ascii="Cambria" w:hAnsi="Cambria" w:eastAsia="宋体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4b30d1"/>
    <w:pPr>
      <w:keepNext w:val="true"/>
      <w:keepLines/>
      <w:numPr>
        <w:ilvl w:val="0"/>
        <w:numId w:val="1"/>
      </w:numPr>
      <w:shd w:val="clear" w:color="auto" w:fill="ECF1F8"/>
      <w:spacing w:before="40" w:after="0"/>
      <w:ind w:right="547" w:hanging="0"/>
      <w:outlineLvl w:val="1"/>
    </w:pPr>
    <w:rPr>
      <w:rFonts w:ascii="Calibri" w:hAnsi="Calibri" w:eastAsia="宋体" w:cs="Calibri" w:asciiTheme="minorHAnsi" w:cstheme="minorHAnsi" w:eastAsiaTheme="majorEastAsia" w:hAnsiTheme="minorHAnsi"/>
      <w:b/>
      <w:bCs/>
      <w:sz w:val="20"/>
      <w:szCs w:val="20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4501ed"/>
    <w:pPr>
      <w:keepNext w:val="true"/>
      <w:keepLines/>
      <w:spacing w:before="40" w:after="0"/>
      <w:outlineLvl w:val="2"/>
    </w:pPr>
    <w:rPr>
      <w:rFonts w:ascii="Cambria" w:hAnsi="Cambria" w:eastAsia="宋体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9d2d35"/>
    <w:rPr>
      <w:rFonts w:ascii="Cambria" w:hAnsi="Cambria" w:eastAsia="宋体" w:cs="" w:asciiTheme="majorHAnsi" w:cstheme="majorBidi" w:eastAsiaTheme="majorEastAsia" w:hAnsiTheme="majorHAnsi"/>
      <w:color w:val="365F91" w:themeColor="accent1" w:themeShade="bf"/>
      <w:sz w:val="32"/>
      <w:szCs w:val="32"/>
      <w:lang w:val="pl-PL" w:eastAsia="pl-PL" w:bidi="pl-PL"/>
    </w:rPr>
  </w:style>
  <w:style w:type="character" w:styleId="Nagwek2Znak" w:customStyle="1">
    <w:name w:val="Nagłówek 2 Znak"/>
    <w:basedOn w:val="DefaultParagraphFont"/>
    <w:uiPriority w:val="9"/>
    <w:qFormat/>
    <w:rsid w:val="004b30d1"/>
    <w:rPr>
      <w:rFonts w:eastAsia="宋体" w:cs="Calibri" w:cstheme="minorHAnsi" w:eastAsiaTheme="majorEastAsia"/>
      <w:b/>
      <w:bCs/>
      <w:sz w:val="20"/>
      <w:szCs w:val="20"/>
      <w:shd w:fill="ECF1F8" w:val="clear"/>
      <w:lang w:val="pl-PL" w:eastAsia="pl-PL" w:bidi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c2d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4c2d66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c2d66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TekstpodstawowyZnak" w:customStyle="1">
    <w:name w:val="Tekst podstawowy Znak"/>
    <w:basedOn w:val="DefaultParagraphFont"/>
    <w:uiPriority w:val="1"/>
    <w:qFormat/>
    <w:rsid w:val="006e60c3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Nagwek3Znak" w:customStyle="1">
    <w:name w:val="Nagłówek 3 Znak"/>
    <w:basedOn w:val="DefaultParagraphFont"/>
    <w:uiPriority w:val="9"/>
    <w:qFormat/>
    <w:rsid w:val="004501ed"/>
    <w:rPr>
      <w:rFonts w:ascii="Cambria" w:hAnsi="Cambria" w:eastAsia="宋体" w:cs="" w:asciiTheme="majorHAnsi" w:cstheme="majorBidi" w:eastAsiaTheme="majorEastAsia" w:hAnsiTheme="majorHAnsi"/>
      <w:color w:val="243F60" w:themeColor="accent1" w:themeShade="7f"/>
      <w:sz w:val="24"/>
      <w:szCs w:val="24"/>
      <w:lang w:val="pl-PL" w:eastAsia="pl-PL" w:bidi="pl-PL"/>
    </w:rPr>
  </w:style>
  <w:style w:type="character" w:styleId="Styl1Znak" w:customStyle="1">
    <w:name w:val="Styl1 Znak"/>
    <w:basedOn w:val="Nagwek3Znak"/>
    <w:link w:val="Styl1"/>
    <w:qFormat/>
    <w:rsid w:val="004501ed"/>
    <w:rPr>
      <w:rFonts w:ascii="Calibri" w:hAnsi="Calibri" w:eastAsia="宋体" w:cs="" w:cstheme="majorBidi" w:eastAsiaTheme="majorEastAsia"/>
      <w:i/>
      <w:color w:val="243F60" w:themeColor="accent1" w:themeShade="7f"/>
      <w:sz w:val="24"/>
      <w:szCs w:val="24"/>
      <w:lang w:val="pl-PL" w:eastAsia="pl-PL" w:bidi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pPr/>
    <w:rPr>
      <w:b/>
      <w:bCs/>
      <w:sz w:val="20"/>
      <w:szCs w:val="20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966" w:hanging="34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4c2d6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c2d66"/>
    <w:pPr/>
    <w:rPr>
      <w:b/>
      <w:bCs/>
    </w:rPr>
  </w:style>
  <w:style w:type="paragraph" w:styleId="Styl1" w:customStyle="1">
    <w:name w:val="Styl1"/>
    <w:basedOn w:val="Nagwek3"/>
    <w:link w:val="Styl1Znak"/>
    <w:qFormat/>
    <w:rsid w:val="004501ed"/>
    <w:pPr/>
    <w:rPr>
      <w:rFonts w:ascii="Calibri" w:hAnsi="Calibri"/>
      <w:i/>
      <w:color w:val="auto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LibreOffice/7.5.2.2$Windows_X86_64 LibreOffice_project/53bb9681a964705cf672590721dbc85eb4d0c3a2</Application>
  <AppVersion>15.0000</AppVersion>
  <Pages>5</Pages>
  <Words>1365</Words>
  <Characters>9685</Characters>
  <CharactersWithSpaces>10793</CharactersWithSpaces>
  <Paragraphs>262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2025-12-11T11:01:00Z</dcterms:created>
  <dc:creator>Rektor UJK</dc:creator>
  <dc:description/>
  <cp:keywords>Zarządzenie nr 189-2025 Budowa programu studiów Załącznik nr 4</cp:keywords>
  <dc:language>pl-PL</dc:language>
  <cp:lastModifiedBy/>
  <cp:lastPrinted>2025-10-28T07:51:00Z</cp:lastPrinted>
  <dcterms:modified xsi:type="dcterms:W3CDTF">2026-03-13T18:03:58Z</dcterms:modified>
  <cp:revision>8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