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6ECDA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24DCA" w:rsidRP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0388.3.PED2.F.PPPNSP</w:t>
      </w:r>
    </w:p>
    <w:p w14:paraId="43134346" w14:textId="75CC3115" w:rsidR="004501ED" w:rsidRPr="00341AC4" w:rsidRDefault="004838B3" w:rsidP="00462BE9">
      <w:pPr>
        <w:pStyle w:val="Nagwek3"/>
        <w:spacing w:line="276" w:lineRule="auto"/>
        <w:ind w:left="426" w:right="264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24D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24DCA" w:rsidRPr="00824DCA">
        <w:rPr>
          <w:rFonts w:asciiTheme="minorHAnsi" w:hAnsiTheme="minorHAnsi" w:cstheme="minorHAnsi"/>
          <w:b/>
          <w:bCs/>
          <w:color w:val="000000" w:themeColor="text1"/>
        </w:rPr>
        <w:t>Psychologiczne podstawy pracy nauczyciela w szkole ponadpodstawowej</w:t>
      </w:r>
    </w:p>
    <w:p w14:paraId="274BA5FF" w14:textId="5D58E654" w:rsidR="004838B3" w:rsidRPr="00824DCA" w:rsidRDefault="004838B3" w:rsidP="00462BE9">
      <w:pPr>
        <w:pStyle w:val="Styl1"/>
        <w:spacing w:line="276" w:lineRule="auto"/>
        <w:ind w:left="426"/>
        <w:rPr>
          <w:b/>
          <w:bCs/>
          <w:color w:val="000000" w:themeColor="text1"/>
          <w:lang w:val="en-GB"/>
        </w:rPr>
      </w:pPr>
      <w:r w:rsidRPr="00824DCA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>:</w:t>
      </w:r>
      <w:r w:rsidR="00824DCA"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r w:rsidR="00824DCA" w:rsidRPr="00824DCA">
        <w:rPr>
          <w:b/>
          <w:bCs/>
          <w:color w:val="000000" w:themeColor="text1"/>
          <w:lang w:val="en-GB"/>
        </w:rPr>
        <w:t xml:space="preserve">Psychological basis of the work of a teacher in </w:t>
      </w:r>
      <w:r w:rsidR="00462BE9">
        <w:rPr>
          <w:b/>
          <w:bCs/>
          <w:color w:val="000000" w:themeColor="text1"/>
          <w:lang w:val="en-GB"/>
        </w:rPr>
        <w:br/>
      </w:r>
      <w:r w:rsidR="00824DCA" w:rsidRPr="00824DCA">
        <w:rPr>
          <w:b/>
          <w:bCs/>
          <w:color w:val="000000" w:themeColor="text1"/>
          <w:lang w:val="en-GB"/>
        </w:rPr>
        <w:t>a secondary school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3E757B3" w:rsidR="000746C5" w:rsidRPr="00824DCA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9ED4419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484C0C9" w:rsidR="00AB3480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 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347A31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56C7520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Edyta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Laurman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-Jarząbek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F849A2B" w:rsidR="001373A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edyta.laurman-jarzabek@ujk.edu.pl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4863675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16A6BF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psychologii ogólnej i psychologii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CAB49E8" w:rsidR="000746C5" w:rsidRPr="00824DCA" w:rsidRDefault="00824DC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45C418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8BE7BB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81B5493" w14:textId="77777777" w:rsidR="00402BCD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75E97362" w14:textId="77777777" w:rsid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prezentacje multimedialne, wykład konwersatoryjny, </w:t>
            </w:r>
          </w:p>
          <w:p w14:paraId="72326665" w14:textId="77777777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4DC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6AE867CE" w14:textId="4A925F94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aktywizujące, rozmowa kierowana.  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850BFA6" w14:textId="3051178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J., &amp; Doliński, D. (red.). (2021). Psychologia. Podręcznik akademicki (t. 1, rozdz. 12, 13, 16). Gdańskie Wydawnictwo Psychologiczne.</w:t>
            </w:r>
          </w:p>
          <w:p w14:paraId="0CD5217E" w14:textId="525A665E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Kendall, P. C. (2021). Zaburzenia okresu dzieciństwa i adolescencji. Techniki terapeutyczne dla profesjonalistów i rodziców. Gdańskie Wydawnictwo Psychologiczne.</w:t>
            </w:r>
          </w:p>
          <w:p w14:paraId="67729E9C" w14:textId="0A47315D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Kowal, S., &amp; Mądry-Kupiec, M. (red.). (2015). Przygotowanie do wykonywania zawodu nauczyciela. W stronę edukacji spersonalizowanej. Wydawnictwo internetowe e-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bookowo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33BBD96" w14:textId="076ECB6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Majzner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(2021). Nauczyciel we współczesnej przestrzeni edukacyjnej. Diagnozy, poszukiwania, inspiracje. Wydawnictwo Adam Marszałek.</w:t>
            </w:r>
          </w:p>
          <w:p w14:paraId="15E4E116" w14:textId="0545F464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Karpińska, A.,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Zińczuk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M., &amp; Kowalczuk, K. (red.). (2021). Nauczyciel we współczesnej rzeczywistości edukacyjnej. Wydawnictwo Uniwersytetu w Białymstoku.</w:t>
            </w:r>
          </w:p>
          <w:p w14:paraId="089BC84F" w14:textId="736822C6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Patyk, K., &amp; Panasiuk, M. (red.). (2017). Wsparcie młodzieży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dorosłych z zaburzeniami ze spektrum autyzmu. Teoria i praktyka. Gdańskie Wydawnictwo Psychologiczne.</w:t>
            </w:r>
          </w:p>
          <w:p w14:paraId="21539079" w14:textId="42BBD220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Kołakowski, A., Siwek, K., &amp; Ambroziak, K. (2021). Nastolatek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depresja. Praktyczny poradnik dla rodziców i młodzieży. Gdańskie Wydawnictwo Psychologiczne.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B4FBDB" w14:textId="37E084C9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Wojnarowska, B. (2010). Uczniowie z chorobami przewlekłymi. Jak wspierać ich rozwój, zdrowie i edukację. Wydawnictwo Naukowe PWN.</w:t>
            </w:r>
          </w:p>
          <w:p w14:paraId="682EC2DE" w14:textId="7D8CDEF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Kaleta, K., &amp; Mróz, J. (2010). Psychologiczne aspekty trudności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wychowaniu dzieci z zaburzeniami rozwoju i zachowania (rozdz. 2,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34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64).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Kielce: Wydawnictwo Pedagogiczne ZNP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4F6B555" w14:textId="407A5C31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Luke, J. (2018). Seks, prochy i zespół Aspergera. Przewodnik po dorosłości dla osób z zespołem Aspergera. Wydawnictwo Uniwersytetu Jagiellońskiego.</w:t>
            </w:r>
          </w:p>
          <w:p w14:paraId="6797734A" w14:textId="49440035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Racicka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E., Lenkiewicz, K.,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Szostakiewicz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Ł., i in. (2018). Zaburzenia tożsamości płciowej u dzieci i młodzieży. Psychiatria po Dyplomie, 6.</w:t>
            </w:r>
          </w:p>
          <w:p w14:paraId="382ECFED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https://podyplomie.pl/psychiatria/31845,zaburzenia-tozsamosci-plciowej-u-dzieci-i-mlodziezy</w:t>
            </w:r>
          </w:p>
          <w:p w14:paraId="76EB7C1B" w14:textId="7C67D57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Dora, M., Grabski, B., &amp;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Dobroczyński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(2020). Dysforia płciowa, niezgodność płciowa i nonkonformizm płciowy w adolescencji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zmiany i wyzwania diagnostyczne. Psychiatria Polska,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152, s.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15.</w:t>
            </w:r>
          </w:p>
          <w:p w14:paraId="4304FCD0" w14:textId="3ECF251F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Szewczak, I. (2018). Moralność zawodowa nauczyciela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dydaktyka, wychowawcy, opiekuna. Zeszyty Naukowe Katolickiego Uniwersytetu Lubelskiego, 61(4), 244.</w:t>
            </w:r>
          </w:p>
          <w:p w14:paraId="7456B6D4" w14:textId="198395FB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Kwiatkowski, T., &amp; Walczak, D. (red.). (2017). Kompetencje interpersonalne w pracy współczesnego nauczyciela. Wydawnictwo Akademii Pedagogiki Specjalnej.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C3295F5" w14:textId="261B96D3" w:rsidR="0021194F" w:rsidRPr="0021194F" w:rsidRDefault="0021194F" w:rsidP="0021194F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C4C09E" w14:textId="44AA267B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skutecznego wykonywania zadań  nauczyciela-wychowawcy we współczesnej szkole.</w:t>
      </w:r>
    </w:p>
    <w:p w14:paraId="471E5D6B" w14:textId="34B60A19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i zrozumienie podstawowych procesów psychologicznych człowieka oraz umiejętność wykorzystania wiedzy psychologicznej w pracy edukacyjnej i wychowawczej.</w:t>
      </w:r>
    </w:p>
    <w:p w14:paraId="250F2B86" w14:textId="64833D1E" w:rsidR="003E0703" w:rsidRPr="0021194F" w:rsidRDefault="0021194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zagadnień związanych ze specyfiką rozwoju w okresie dorastania i dorosłości (szanse i zagrożenia).</w:t>
      </w:r>
    </w:p>
    <w:p w14:paraId="4E907EA6" w14:textId="2A5ADDD3" w:rsidR="0021194F" w:rsidRPr="0021194F" w:rsidRDefault="0021194F" w:rsidP="0021194F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7910AB3" w14:textId="6BDF6B6D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rozpoznawania i analizy czynników ryzyka i czynników sprzyjających w procesie uczenia się i funkcjonowania w roli ucznia-wychowanka, motywowanie uczniów do samorozwoju.</w:t>
      </w:r>
    </w:p>
    <w:p w14:paraId="4762DF16" w14:textId="4CE25648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wrażliwości na różnorodność uwarunkowań procesu uczenia się oraz występujących dysharmonii w rozwoju.</w:t>
      </w:r>
    </w:p>
    <w:p w14:paraId="1737396A" w14:textId="430A7D6A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Nabycie wiedzy i rozwinięcie umiejętności w obszarze organizowania warunków optymalnego uczenia się i procesu wychowania  młodzieży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–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uczniów z zaburzeniami rozwojowymi, w tym kształtowanie umiejętności komunikacyjnych.</w:t>
      </w:r>
    </w:p>
    <w:p w14:paraId="5A7DE6DB" w14:textId="449D67CF" w:rsidR="0021194F" w:rsidRP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roli nauczyciela w rozwoju i wspieraniu młodzieży z zaburzeniami rozwojowymi, wykształcenie wobec nich wrażliwości etycznej i postaw empatycznych.</w:t>
      </w:r>
    </w:p>
    <w:p w14:paraId="67708B6E" w14:textId="17C856B3" w:rsidR="003E0703" w:rsidRPr="00341AC4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7173C4C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studentów z kartą przedmiotu oraz warunkami zaliczenia przedmiotu.</w:t>
      </w:r>
    </w:p>
    <w:p w14:paraId="22238E8C" w14:textId="0E625807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Struktura i funkcje podstawowych procesów psychicznych, rozwój psychiczny człowieka w cyklu życia.</w:t>
      </w:r>
    </w:p>
    <w:p w14:paraId="71FE5127" w14:textId="5A492AA0" w:rsidR="00EA7C7B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stojące przed uczniem ze szczególnym uwzględnieniem okresu adolescencji; norma rozwojowa, różnorodność ujęć, procesy komunikowania się.</w:t>
      </w:r>
    </w:p>
    <w:p w14:paraId="2F8BB18C" w14:textId="38F31C9F" w:rsidR="0021194F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w rozwoju podstawowych procesów psychicznych, teorie integralnego rozwoju ucznia.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113AAF44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rozwojowe: zaburzenia emocjonalne, całościowe zaburzenia rozwoju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spektrum autyzmu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Zespół </w:t>
      </w:r>
      <w:proofErr w:type="spellStart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Retta</w:t>
      </w:r>
      <w:proofErr w:type="spellEnd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ADHD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57631787" w14:textId="06CC6799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w okresie adolescencji.</w:t>
      </w:r>
    </w:p>
    <w:p w14:paraId="6EDCCB72" w14:textId="388A78AD" w:rsidR="00EA7C7B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Zagrożenia w przebiegu rozwoju ucznia szkoły ponadpodstawowej. </w:t>
      </w:r>
    </w:p>
    <w:p w14:paraId="61503357" w14:textId="7583080B" w:rsidR="0021194F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 u dzieci: zaburzenia odżywiania, dysforia płciowa, uzależnienia.</w:t>
      </w:r>
    </w:p>
    <w:p w14:paraId="137B1BCC" w14:textId="3EB89B9A" w:rsidR="002119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Komunikacja z nastolatkiem.</w:t>
      </w:r>
    </w:p>
    <w:p w14:paraId="52CBFC3B" w14:textId="255BAEC0" w:rsidR="00436303" w:rsidRPr="00341AC4" w:rsidRDefault="00436303" w:rsidP="000C229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D96C283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klasyczne i współczesne teorie rozwoju człowieka, wychowania, uczenia się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nauczania lub kształcenia oraz ich wartości aplikacyjne.</w:t>
            </w:r>
          </w:p>
        </w:tc>
        <w:tc>
          <w:tcPr>
            <w:tcW w:w="1773" w:type="dxa"/>
          </w:tcPr>
          <w:p w14:paraId="1A7104AA" w14:textId="7EA7FA3C" w:rsidR="00E10FEB" w:rsidRDefault="00E10F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PED2A_W06</w:t>
            </w:r>
          </w:p>
          <w:p w14:paraId="1881EAEC" w14:textId="26295365" w:rsidR="006E60C3" w:rsidRPr="00341AC4" w:rsidRDefault="00E10F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PED2A_W09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D877118" w:rsidR="006E60C3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7BED8BE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procesy komunikowania interpersonalnego i społecznego oraz ich prawidłowości i zakłócenia.</w:t>
            </w:r>
          </w:p>
        </w:tc>
        <w:tc>
          <w:tcPr>
            <w:tcW w:w="1773" w:type="dxa"/>
          </w:tcPr>
          <w:p w14:paraId="22E3BAAE" w14:textId="723D6CA8" w:rsidR="006E60C3" w:rsidRPr="00341AC4" w:rsidRDefault="00CA5A8C" w:rsidP="00B4208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BB0E5D8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obserwować sytuacje i zdarzenia pedagogiczne, analizować je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wykorzystaniem wiedzy pedagogiczno-psychologicznej oraz proponować rozwiązania problemów.</w:t>
            </w:r>
          </w:p>
        </w:tc>
        <w:tc>
          <w:tcPr>
            <w:tcW w:w="1773" w:type="dxa"/>
          </w:tcPr>
          <w:p w14:paraId="69BAD1D6" w14:textId="3FC3C03B" w:rsidR="001B42D3" w:rsidRPr="00341AC4" w:rsidRDefault="001B42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PED2A_U03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1CA1639" w:rsidR="00A713B4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722196C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tworzyć sytuacje wychowawczo-dydaktyczne motywujące uczniów do nauki i pracy nad sobą, analizować ich skuteczność oraz modyfikować działania w celu uzyskania pożądanych efektów wychowania i kształcenia.</w:t>
            </w:r>
          </w:p>
        </w:tc>
        <w:tc>
          <w:tcPr>
            <w:tcW w:w="1773" w:type="dxa"/>
          </w:tcPr>
          <w:p w14:paraId="3E869DC6" w14:textId="098CC61A" w:rsidR="00A713B4" w:rsidRPr="00341AC4" w:rsidRDefault="00CA5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A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PED2A_U06</w:t>
            </w:r>
          </w:p>
        </w:tc>
      </w:tr>
      <w:tr w:rsidR="000C229B" w:rsidRPr="00341AC4" w14:paraId="5A78BF7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457336" w14:textId="7E194E79" w:rsidR="000C229B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B61AC51" w14:textId="28442AC2" w:rsidR="000C229B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proces oceniania i udzielania informacji zwrotnych do stymulowania uczniów w ich pracy nad własnym rozwojem.</w:t>
            </w:r>
          </w:p>
        </w:tc>
        <w:tc>
          <w:tcPr>
            <w:tcW w:w="1773" w:type="dxa"/>
          </w:tcPr>
          <w:p w14:paraId="4D1C8720" w14:textId="2E1EF147" w:rsidR="000C229B" w:rsidRPr="00341AC4" w:rsidRDefault="00CA5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A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C6E6989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gotowy do tworzenia dobrej atmosfery dla komunikacji w klasie szkolnej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poza nią.</w:t>
            </w:r>
          </w:p>
        </w:tc>
        <w:tc>
          <w:tcPr>
            <w:tcW w:w="1773" w:type="dxa"/>
          </w:tcPr>
          <w:p w14:paraId="3E07749A" w14:textId="152F80A1" w:rsidR="00A713B4" w:rsidRPr="00341AC4" w:rsidRDefault="001B42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PED2A_K05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8CCF450" w14:textId="77777777" w:rsidR="000B21C8" w:rsidRDefault="000B21C8" w:rsidP="000B21C8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AD48164" w14:textId="77777777" w:rsidR="000B21C8" w:rsidRDefault="000B21C8" w:rsidP="000B21C8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4AEFC78" w14:textId="77777777" w:rsidR="000B21C8" w:rsidRDefault="000B21C8" w:rsidP="000B21C8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E35C4C4" w14:textId="77777777" w:rsidR="000B21C8" w:rsidRPr="00341AC4" w:rsidRDefault="000B21C8" w:rsidP="000B21C8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2852"/>
        <w:gridCol w:w="2852"/>
        <w:gridCol w:w="2852"/>
      </w:tblGrid>
      <w:tr w:rsidR="0045750F" w:rsidRPr="00341AC4" w14:paraId="0519EDA3" w14:textId="77777777" w:rsidTr="00A64084">
        <w:trPr>
          <w:jc w:val="center"/>
        </w:trPr>
        <w:tc>
          <w:tcPr>
            <w:tcW w:w="1315" w:type="dxa"/>
            <w:shd w:val="clear" w:color="auto" w:fill="ECF1F8"/>
            <w:vAlign w:val="center"/>
          </w:tcPr>
          <w:p w14:paraId="4EDEB735" w14:textId="0895E378" w:rsidR="0045750F" w:rsidRPr="00341AC4" w:rsidRDefault="0045750F" w:rsidP="00A64084">
            <w:pPr>
              <w:pStyle w:val="TableParagraph"/>
              <w:spacing w:line="276" w:lineRule="auto"/>
              <w:ind w:left="-2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52" w:type="dxa"/>
            <w:vAlign w:val="center"/>
          </w:tcPr>
          <w:p w14:paraId="393111AC" w14:textId="49A5C8FE" w:rsidR="0045750F" w:rsidRPr="00341AC4" w:rsidRDefault="0045750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2852" w:type="dxa"/>
            <w:shd w:val="clear" w:color="auto" w:fill="F2F2F2" w:themeFill="background1" w:themeFillShade="F2"/>
            <w:vAlign w:val="center"/>
          </w:tcPr>
          <w:p w14:paraId="2DBFB9CA" w14:textId="780DA1D6" w:rsidR="0045750F" w:rsidRPr="00341AC4" w:rsidRDefault="0045750F" w:rsidP="000C22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52" w:type="dxa"/>
            <w:vAlign w:val="center"/>
          </w:tcPr>
          <w:p w14:paraId="2A7FD4F8" w14:textId="264EE0D7" w:rsidR="0045750F" w:rsidRPr="00341AC4" w:rsidRDefault="0045750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artykułu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A64084" w:rsidRPr="00341AC4" w14:paraId="6A3E527E" w14:textId="77777777" w:rsidTr="00853843">
        <w:trPr>
          <w:jc w:val="center"/>
        </w:trPr>
        <w:tc>
          <w:tcPr>
            <w:tcW w:w="1315" w:type="dxa"/>
            <w:tcBorders>
              <w:tl2br w:val="single" w:sz="4" w:space="0" w:color="auto"/>
            </w:tcBorders>
          </w:tcPr>
          <w:p w14:paraId="7E23793F" w14:textId="587EAAC4" w:rsidR="0045750F" w:rsidRPr="00341AC4" w:rsidRDefault="0045750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5750F" w:rsidRPr="00341AC4" w:rsidRDefault="0045750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2" w:type="dxa"/>
          </w:tcPr>
          <w:p w14:paraId="79C8F64F" w14:textId="1D96A7D1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</w:tcPr>
          <w:p w14:paraId="2D9E2E02" w14:textId="37B0B4D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</w:tcPr>
          <w:p w14:paraId="2857DF91" w14:textId="4C5FE03B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E28732D" w14:textId="0BDE804C" w:rsidR="0045750F" w:rsidRPr="00341AC4" w:rsidRDefault="0045750F" w:rsidP="00A64084">
            <w:pPr>
              <w:pStyle w:val="TableParagraph"/>
              <w:spacing w:line="276" w:lineRule="auto"/>
              <w:ind w:right="2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0D7535A" w14:textId="71ECA19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5FA55A8B" w14:textId="334E0AE4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952" w:type="dxa"/>
          </w:tcPr>
          <w:p w14:paraId="658F5ED6" w14:textId="6A0E53FD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</w:tcPr>
          <w:p w14:paraId="483622F7" w14:textId="42B8FB2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</w:tcPr>
          <w:p w14:paraId="5FE834CC" w14:textId="703378C5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A64084" w:rsidRPr="00341AC4" w14:paraId="3BDEFA32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73EFAA8D" w14:textId="0C9307E5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952" w:type="dxa"/>
          </w:tcPr>
          <w:p w14:paraId="2A39939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7DDF7904" w14:textId="6A58544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0132900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0BCB527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226E8B0" w14:textId="40592210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79B95DE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7550ED9" w14:textId="1365A13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7527707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512C367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1BE54D9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74311758" w14:textId="073A9A6B" w:rsidR="0045750F" w:rsidRPr="007B5EC9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952" w:type="dxa"/>
          </w:tcPr>
          <w:p w14:paraId="68DACE0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2D1DE7D0" w14:textId="59A58566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6F52DC2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58D5540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0B04AA45" w14:textId="367CA232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D04CEDD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C80DE29" w14:textId="3CE5D7A0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06D797A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7E0889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46ACCB6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46DF7FCA" w14:textId="32FD5C7A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952" w:type="dxa"/>
          </w:tcPr>
          <w:p w14:paraId="1E265988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045750C" w14:textId="5C161842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43A8218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41A2B08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AF18B3B" w14:textId="7427428E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3F77083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481E44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61FD65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E6E407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4C5B236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6E053ADC" w14:textId="3830B83A" w:rsidR="0045750F" w:rsidRPr="007B5EC9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952" w:type="dxa"/>
          </w:tcPr>
          <w:p w14:paraId="6FAF9A1F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EB87D64" w14:textId="3DFB8BF2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6AF2EF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49AA423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3BB8C41" w14:textId="61DFD91A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D0063A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2FB761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3EE901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21AE1F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0640922D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45BA0E26" w14:textId="2490C344" w:rsidR="0045750F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952" w:type="dxa"/>
          </w:tcPr>
          <w:p w14:paraId="33B35423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1AF8FE5" w14:textId="7634A05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72FFB1D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6C166D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4935F1D" w14:textId="2F476AFB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74B48B9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D5AFDB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6C4064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930F55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5E8F52D0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5F6B3256" w14:textId="254C1DFD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952" w:type="dxa"/>
          </w:tcPr>
          <w:p w14:paraId="079167A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704139DE" w14:textId="640A8E2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1155E433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720376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9F9E061" w14:textId="50A2DF84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2221B60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2517E7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B6C829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CDB27B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B41EB47" w:rsidR="00896E3C" w:rsidRPr="007B5EC9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 w 5</w:t>
            </w:r>
            <w:r w:rsidR="00135D2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możliwych do uzyskania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B2BF25C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</w:t>
            </w:r>
            <w:r w:rsidR="00462BE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możliwych do uzyskania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74EB2618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możliwych do uzyskania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8A4C0EB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możliwych do uzyskania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A86BD42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możliwych do uzyskania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FA547C6" w:rsidR="00913ECD" w:rsidRPr="007B5EC9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</w:t>
            </w:r>
            <w:r w:rsidR="00135D2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6D52F42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6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E388AB7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oraz uzyskał z karty pracy i prezentacji multimedialnej łącznie 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15D3F53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oraz uzyskał z karty pracy i prezentacji multimedialnej łącznie 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A83A2DB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oraz uzyskał z karty pracy i prezentacji multimedialnej łącznie </w:t>
            </w:r>
            <w:r w:rsidR="00E7231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</w:tbl>
    <w:p w14:paraId="60ABD29D" w14:textId="4CB86D1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0667428D" w14:textId="77777777" w:rsidR="00E7231F" w:rsidRDefault="00E7231F" w:rsidP="00E7231F"/>
    <w:p w14:paraId="7F42FD57" w14:textId="77777777" w:rsidR="00E7231F" w:rsidRDefault="00E7231F" w:rsidP="00E7231F"/>
    <w:p w14:paraId="72113B1F" w14:textId="77777777" w:rsidR="00E7231F" w:rsidRPr="00E7231F" w:rsidRDefault="00E7231F" w:rsidP="00E7231F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2172"/>
        <w:gridCol w:w="2173"/>
      </w:tblGrid>
      <w:tr w:rsidR="00341AC4" w:rsidRPr="00341AC4" w14:paraId="4F74CA1F" w14:textId="77777777" w:rsidTr="007259D8">
        <w:trPr>
          <w:trHeight w:val="460"/>
          <w:jc w:val="center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7259D8">
        <w:trPr>
          <w:trHeight w:val="412"/>
          <w:jc w:val="center"/>
        </w:trPr>
        <w:tc>
          <w:tcPr>
            <w:tcW w:w="550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F9D1DD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E4588EC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7259D8">
        <w:trPr>
          <w:trHeight w:val="285"/>
          <w:jc w:val="center"/>
        </w:trPr>
        <w:tc>
          <w:tcPr>
            <w:tcW w:w="5504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57D3FD3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C891B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7259D8">
        <w:trPr>
          <w:trHeight w:val="282"/>
          <w:jc w:val="center"/>
        </w:trPr>
        <w:tc>
          <w:tcPr>
            <w:tcW w:w="5504" w:type="dxa"/>
          </w:tcPr>
          <w:p w14:paraId="39209C1C" w14:textId="2933F08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7B5E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311B3D1" w14:textId="126E0FD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63F0AB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7259D8">
        <w:trPr>
          <w:trHeight w:val="285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BF72666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3F39C6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7259D8">
        <w:trPr>
          <w:trHeight w:val="285"/>
          <w:jc w:val="center"/>
        </w:trPr>
        <w:tc>
          <w:tcPr>
            <w:tcW w:w="5504" w:type="dxa"/>
          </w:tcPr>
          <w:p w14:paraId="2D867530" w14:textId="065AE5F9" w:rsidR="00896E3C" w:rsidRPr="00341AC4" w:rsidRDefault="00DD4AD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recenzji artykułu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29D8793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41BBD62" w:rsidR="00896E3C" w:rsidRPr="00341AC4" w:rsidRDefault="00DE17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97CD66F" w14:textId="77777777" w:rsidTr="007259D8">
        <w:trPr>
          <w:trHeight w:val="282"/>
          <w:jc w:val="center"/>
        </w:trPr>
        <w:tc>
          <w:tcPr>
            <w:tcW w:w="5504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444B2B3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6893AEA9" w:rsidR="00896E3C" w:rsidRPr="00341AC4" w:rsidRDefault="00DE17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7259D8">
        <w:trPr>
          <w:trHeight w:val="282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DCBD44F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F66B6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7259D8">
        <w:trPr>
          <w:trHeight w:val="285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4B81C9B" w:rsidR="001106D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62E1729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2C6AFB"/>
    <w:multiLevelType w:val="hybridMultilevel"/>
    <w:tmpl w:val="BCB84F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E2507"/>
    <w:multiLevelType w:val="hybridMultilevel"/>
    <w:tmpl w:val="806AD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357192954">
    <w:abstractNumId w:val="6"/>
  </w:num>
  <w:num w:numId="38" w16cid:durableId="205967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B21C8"/>
    <w:rsid w:val="000C229B"/>
    <w:rsid w:val="000D4346"/>
    <w:rsid w:val="000F5265"/>
    <w:rsid w:val="00104870"/>
    <w:rsid w:val="00104F8D"/>
    <w:rsid w:val="001106DC"/>
    <w:rsid w:val="00135D23"/>
    <w:rsid w:val="001373A5"/>
    <w:rsid w:val="00145EC7"/>
    <w:rsid w:val="001B42D3"/>
    <w:rsid w:val="001D18A7"/>
    <w:rsid w:val="001D511D"/>
    <w:rsid w:val="001E0ADE"/>
    <w:rsid w:val="001E7B5A"/>
    <w:rsid w:val="00204C4C"/>
    <w:rsid w:val="0021194F"/>
    <w:rsid w:val="00230FC0"/>
    <w:rsid w:val="002361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750F"/>
    <w:rsid w:val="00462BE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4247"/>
    <w:rsid w:val="005D2A79"/>
    <w:rsid w:val="005D3DF3"/>
    <w:rsid w:val="005E156F"/>
    <w:rsid w:val="005E7A2C"/>
    <w:rsid w:val="005F0097"/>
    <w:rsid w:val="005F3556"/>
    <w:rsid w:val="00621E17"/>
    <w:rsid w:val="00625795"/>
    <w:rsid w:val="00635E40"/>
    <w:rsid w:val="00654EA0"/>
    <w:rsid w:val="0067260F"/>
    <w:rsid w:val="006A0C6B"/>
    <w:rsid w:val="006B2D73"/>
    <w:rsid w:val="006C5000"/>
    <w:rsid w:val="006D764F"/>
    <w:rsid w:val="006E60C3"/>
    <w:rsid w:val="006F029C"/>
    <w:rsid w:val="0071489A"/>
    <w:rsid w:val="00717AE1"/>
    <w:rsid w:val="007259D8"/>
    <w:rsid w:val="00725F8A"/>
    <w:rsid w:val="00745543"/>
    <w:rsid w:val="00775AF1"/>
    <w:rsid w:val="007B5EC9"/>
    <w:rsid w:val="007B605E"/>
    <w:rsid w:val="007C3DBD"/>
    <w:rsid w:val="00824DCA"/>
    <w:rsid w:val="00834C51"/>
    <w:rsid w:val="00853843"/>
    <w:rsid w:val="00862E0A"/>
    <w:rsid w:val="00865B7B"/>
    <w:rsid w:val="00896E3C"/>
    <w:rsid w:val="008B336A"/>
    <w:rsid w:val="00906C25"/>
    <w:rsid w:val="009109EC"/>
    <w:rsid w:val="00913ECD"/>
    <w:rsid w:val="00937B44"/>
    <w:rsid w:val="00950193"/>
    <w:rsid w:val="00952870"/>
    <w:rsid w:val="0095606D"/>
    <w:rsid w:val="00957188"/>
    <w:rsid w:val="009C5192"/>
    <w:rsid w:val="009D2D35"/>
    <w:rsid w:val="009D3E96"/>
    <w:rsid w:val="009D44FA"/>
    <w:rsid w:val="00A272CD"/>
    <w:rsid w:val="00A37682"/>
    <w:rsid w:val="00A376DE"/>
    <w:rsid w:val="00A37E5B"/>
    <w:rsid w:val="00A5532D"/>
    <w:rsid w:val="00A64084"/>
    <w:rsid w:val="00A713B4"/>
    <w:rsid w:val="00AB3480"/>
    <w:rsid w:val="00AB6E40"/>
    <w:rsid w:val="00AE4328"/>
    <w:rsid w:val="00AF51E8"/>
    <w:rsid w:val="00AF7E08"/>
    <w:rsid w:val="00B20F2C"/>
    <w:rsid w:val="00B36858"/>
    <w:rsid w:val="00B4208C"/>
    <w:rsid w:val="00B54F67"/>
    <w:rsid w:val="00B64890"/>
    <w:rsid w:val="00B6660E"/>
    <w:rsid w:val="00B72C78"/>
    <w:rsid w:val="00B81956"/>
    <w:rsid w:val="00B877F7"/>
    <w:rsid w:val="00BB0629"/>
    <w:rsid w:val="00BE67AE"/>
    <w:rsid w:val="00C1154E"/>
    <w:rsid w:val="00C14619"/>
    <w:rsid w:val="00C51D09"/>
    <w:rsid w:val="00C62B71"/>
    <w:rsid w:val="00C74615"/>
    <w:rsid w:val="00C90782"/>
    <w:rsid w:val="00CA3616"/>
    <w:rsid w:val="00CA5A8C"/>
    <w:rsid w:val="00CB604E"/>
    <w:rsid w:val="00CD60D3"/>
    <w:rsid w:val="00CE0B44"/>
    <w:rsid w:val="00CF48D1"/>
    <w:rsid w:val="00D05AB2"/>
    <w:rsid w:val="00D85EF3"/>
    <w:rsid w:val="00D864ED"/>
    <w:rsid w:val="00D938BC"/>
    <w:rsid w:val="00DA28D5"/>
    <w:rsid w:val="00DB5D67"/>
    <w:rsid w:val="00DD4AD3"/>
    <w:rsid w:val="00DD65E8"/>
    <w:rsid w:val="00DE1701"/>
    <w:rsid w:val="00DE1F53"/>
    <w:rsid w:val="00E10FEB"/>
    <w:rsid w:val="00E17D02"/>
    <w:rsid w:val="00E604E4"/>
    <w:rsid w:val="00E63048"/>
    <w:rsid w:val="00E7231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6661"/>
    <w:rsid w:val="00FC4204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8106</Characters>
  <Application>Microsoft Office Word</Application>
  <DocSecurity>0</DocSecurity>
  <Lines>319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2026-03-11T19:52:00Z</dcterms:created>
  <dcterms:modified xsi:type="dcterms:W3CDTF">2026-03-11T19:52:00Z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