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6889" w:hanging="6889"/>
        <w:jc w:val="right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iCs/>
          <w:color w:val="000000" w:themeColor="text1"/>
          <w:sz w:val="24"/>
          <w:szCs w:val="24"/>
        </w:rPr>
      </w:r>
    </w:p>
    <w:p>
      <w:pPr>
        <w:pStyle w:val="Nagwek1"/>
        <w:spacing w:lineRule="auto" w:line="276" w:before="240" w:after="360"/>
        <w:jc w:val="center"/>
        <w:rPr>
          <w:rFonts w:ascii="Calibri" w:hAnsi="Calibri" w:cs="Calibri" w:asciiTheme="minorHAnsi" w:cstheme="minorHAnsi" w:hAnsiTheme="minorHAnsi"/>
          <w:b/>
          <w:bCs/>
          <w:i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bCs/>
          <w:iCs/>
          <w:color w:val="auto"/>
        </w:rPr>
        <w:t xml:space="preserve">KARTA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PRZEDMIOTU (ZAJĘĆ)</w:t>
      </w:r>
    </w:p>
    <w:p>
      <w:pPr>
        <w:pStyle w:val="Tretekstu"/>
        <w:tabs>
          <w:tab w:val="clear" w:pos="720"/>
          <w:tab w:val="left" w:pos="10065" w:leader="dot"/>
        </w:tabs>
        <w:spacing w:lineRule="auto" w:line="276" w:before="240" w:after="240"/>
        <w:ind w:left="425" w:hanging="0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>Kod przedmiotu (zajęć</w:t>
      </w:r>
      <w:r>
        <w:rPr>
          <w:rFonts w:eastAsia="Times New Roman" w:cs="Calibri" w:ascii="Calibri" w:hAnsi="Calibri" w:asciiTheme="minorHAnsi" w:cstheme="minorHAnsi" w:hAnsiTheme="minorHAnsi"/>
          <w:b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):  0388.3.PED2.F.KIPOW</w:t>
      </w:r>
    </w:p>
    <w:p>
      <w:pPr>
        <w:pStyle w:val="Nagwek3"/>
        <w:spacing w:lineRule="auto" w:line="276"/>
        <w:ind w:firstLine="426"/>
        <w:rPr>
          <w:rFonts w:ascii="Calibri" w:hAnsi="Calibri" w:cs="Calibri" w:asciiTheme="minorHAnsi" w:cstheme="minorHAnsi" w:hAnsiTheme="minorHAnsi"/>
          <w:b/>
          <w:b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 xml:space="preserve">(zajęć) </w:t>
      </w:r>
      <w:bookmarkEnd w:id="0"/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>w języku polski</w:t>
      </w:r>
      <w:r>
        <w:rPr>
          <w:rFonts w:eastAsia="宋体" w:cs="" w:ascii="Calibri" w:hAnsi="Calibri"/>
          <w:b/>
          <w:bCs/>
          <w:i w:val="false"/>
          <w:iCs/>
          <w:color w:val="000000" w:themeColor="text1"/>
          <w:sz w:val="24"/>
          <w:szCs w:val="24"/>
          <w:lang w:val="pl-PL" w:eastAsia="pl-PL" w:bidi="pl-PL"/>
        </w:rPr>
        <w:t xml:space="preserve">m: </w:t>
      </w:r>
      <w:r>
        <w:rPr>
          <w:rFonts w:eastAsia="宋体" w:cs="Calibri" w:ascii="Calibri" w:hAnsi="Calibri" w:asciiTheme="minorHAnsi" w:cstheme="minorHAnsi" w:hAnsiTheme="minorHAnsi"/>
          <w:b/>
          <w:bCs/>
          <w:color w:val="000000" w:themeColor="text1"/>
          <w:kern w:val="0"/>
          <w:sz w:val="24"/>
          <w:szCs w:val="24"/>
          <w:lang w:val="pl-PL" w:eastAsia="pl-PL" w:bidi="pl-PL"/>
        </w:rPr>
        <w:t xml:space="preserve">Kompetencje interpersonalne w pracy z osobami </w:t>
        <w:tab/>
        <w:tab/>
        <w:tab/>
        <w:tab/>
        <w:tab/>
        <w:tab/>
        <w:tab/>
        <w:tab/>
        <w:t>wykluczonymi</w:t>
      </w:r>
    </w:p>
    <w:p>
      <w:pPr>
        <w:pStyle w:val="Styl1"/>
        <w:spacing w:lineRule="auto" w:line="276"/>
        <w:ind w:firstLine="426"/>
        <w:rPr>
          <w:rFonts w:ascii="Calibri" w:hAnsi="Calibri" w:eastAsia="宋体" w:cs=""/>
          <w:b/>
          <w:bCs/>
          <w:i w:val="false"/>
          <w:i w:val="false"/>
          <w:iCs/>
          <w:color w:val="000000" w:themeColor="text1"/>
          <w:sz w:val="24"/>
          <w:szCs w:val="24"/>
          <w:lang w:val="pl-PL" w:eastAsia="pl-PL" w:bidi="pl-PL"/>
        </w:rPr>
      </w:pPr>
      <w:r>
        <w:rPr>
          <w:rFonts w:eastAsia="宋体" w:cs=""/>
          <w:b/>
          <w:bCs/>
          <w:i w:val="false"/>
          <w:iCs/>
          <w:color w:val="000000" w:themeColor="text1"/>
          <w:sz w:val="24"/>
          <w:szCs w:val="24"/>
          <w:lang w:val="pl-PL" w:eastAsia="pl-PL" w:bidi="pl-PL"/>
        </w:rPr>
        <w:t xml:space="preserve">Nazwa przedmiotu (zajęć) w języku angielskim: </w:t>
      </w:r>
      <w:r>
        <w:rPr>
          <w:rFonts w:eastAsia="宋体" w:cs="Calibri" w:cstheme="minorHAnsi"/>
          <w:b/>
          <w:bCs/>
          <w:i w:val="false"/>
          <w:iCs w:val="false"/>
          <w:color w:val="000000" w:themeColor="text1"/>
          <w:kern w:val="0"/>
          <w:sz w:val="24"/>
          <w:szCs w:val="24"/>
          <w:lang w:val="pl-PL" w:eastAsia="pl-PL" w:bidi="pl-PL"/>
        </w:rPr>
        <w:t xml:space="preserve">Interpersonal competences in working with excluded </w:t>
        <w:tab/>
        <w:tab/>
        <w:tab/>
        <w:tab/>
        <w:tab/>
        <w:tab/>
        <w:tab/>
        <w:t>people</w:t>
      </w:r>
    </w:p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240" w:after="120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741"/>
        <w:gridCol w:w="5005"/>
      </w:tblGrid>
      <w:tr>
        <w:trPr>
          <w:trHeight w:val="282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</w:rPr>
              <w:t>Pedagogika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stacjonarne/niestacjonarne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Drugiego</w:t>
            </w: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 xml:space="preserve"> stopnia - </w:t>
            </w: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magisterskie</w:t>
            </w: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Ogólnoakademicki</w:t>
            </w:r>
          </w:p>
        </w:tc>
      </w:tr>
      <w:tr>
        <w:trPr>
          <w:trHeight w:val="282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Monika Wojtkowiak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mwojtkowiak@ujk.edu.pl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67"/>
        <w:gridCol w:w="6279"/>
      </w:tblGrid>
      <w:tr>
        <w:trPr>
          <w:trHeight w:val="285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ind w:left="487" w:hanging="357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polski</w:t>
            </w:r>
          </w:p>
        </w:tc>
      </w:tr>
      <w:tr>
        <w:trPr>
          <w:trHeight w:val="282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Podstawowa wiedza z zakresu komunikacji i psychologii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66"/>
        <w:gridCol w:w="6279"/>
      </w:tblGrid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31" w:hanging="0"/>
              <w:jc w:val="left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wykłady/ćwiczenia</w:t>
            </w:r>
          </w:p>
        </w:tc>
      </w:tr>
      <w:tr>
        <w:trPr>
          <w:trHeight w:val="282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183" w:hanging="0"/>
              <w:jc w:val="left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Pomieszczenia dydaktyczne UJK 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183" w:hanging="0"/>
              <w:jc w:val="left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zaliczenie z oceną</w:t>
            </w:r>
          </w:p>
        </w:tc>
      </w:tr>
      <w:tr>
        <w:trPr>
          <w:trHeight w:val="282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Web"/>
              <w:spacing w:before="0" w:after="0"/>
              <w:rPr>
                <w:rFonts w:ascii="Calibri" w:hAnsi="Calibri" w:eastAsia="Times New Roman" w:cs="Times New Roman"/>
                <w:color w:val="000000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 xml:space="preserve"> </w:t>
            </w: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Ćwiczenia: studium przypadków, wykorzystanie metod dramy, praca warsztatowa, praca grupowa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72" w:hanging="142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1"/>
                <w:szCs w:val="21"/>
                <w:lang w:val="pl-PL" w:eastAsia="pl-PL" w:bidi="pl-PL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R.Alberti, Asertywność, 2003</w:t>
            </w:r>
          </w:p>
          <w:p>
            <w:pPr>
              <w:pStyle w:val="Normal"/>
              <w:rPr>
                <w:rFonts w:ascii="Calibri" w:hAnsi="Calibri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Z. Nęcki, komunikacja międzyludzka, 2000</w:t>
            </w:r>
          </w:p>
          <w:p>
            <w:pPr>
              <w:pStyle w:val="Normal"/>
              <w:rPr>
                <w:rFonts w:ascii="Calibri" w:hAnsi="Calibri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M.Davis, Sztuka skutecznego porozumiewania się, 2001</w:t>
            </w:r>
          </w:p>
          <w:p>
            <w:pPr>
              <w:pStyle w:val="Normal"/>
              <w:rPr>
                <w:rFonts w:ascii="Calibri" w:hAnsi="Calibri" w:eastAsia="Times New Roman" w:cs="Times New Roman"/>
                <w:color w:val="000000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F.Guillaumond Nauka komunikowania się w grupie przedszkolnej. Warszawa: Wydawnictwo Cyklady, 2000</w:t>
            </w:r>
          </w:p>
          <w:p>
            <w:pPr>
              <w:pStyle w:val="Normal"/>
              <w:rPr>
                <w:rFonts w:ascii="Calibri" w:hAnsi="Calibri" w:eastAsia="Times New Roman" w:cs="Times New Roman"/>
                <w:color w:val="000000"/>
                <w:kern w:val="0"/>
                <w:sz w:val="20"/>
                <w:szCs w:val="20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 xml:space="preserve">Walsh, K., Scharf, T., Van Regenmortel, S., Wanka, A. (red.). </w:t>
            </w:r>
            <w:r>
              <w:rPr>
                <w:rStyle w:val="Wyrnienie"/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Social Exclusion in Later Life: Interdisciplinary and Policy Perspectives</w:t>
            </w: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 xml:space="preserve">. Cham: Springer, 2021 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72" w:hanging="142"/>
              <w:jc w:val="left"/>
              <w:rPr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Times New Roman" w:cs="Times New Roman"/>
                <w:color w:val="000000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J. Steward, Mosty zamiast murów, 2009</w:t>
            </w:r>
          </w:p>
          <w:p>
            <w:pPr>
              <w:pStyle w:val="Normal"/>
              <w:rPr>
                <w:rFonts w:ascii="Calibri" w:hAnsi="Calibri" w:eastAsia="Times New Roman" w:cs="Times New Roman"/>
                <w:color w:val="000000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A. Leight, Komunikacja doskonała. Poznań: Dom Wydawniczy REBIS, 2003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left="1134" w:hanging="567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1134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1134" w:hanging="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Ćwiczenia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567" w:hanging="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C1.  Z</w:t>
      </w:r>
      <w:r>
        <w:rPr>
          <w:rFonts w:eastAsia="Times New Roman" w:cs="Times New Roman" w:ascii="Calibri" w:hAnsi="Calibri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apoznanie z pojęciem wykluczenia i specyfiką problemów w pracy z osobami wykluczonymi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567" w:hanging="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 xml:space="preserve">C2.  </w:t>
      </w:r>
      <w:r>
        <w:rPr>
          <w:rFonts w:eastAsia="Times New Roman" w:cs="Times New Roman" w:ascii="Calibri" w:hAnsi="Calibri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Doskonalenia zdolności komunikacji i animacji działań zmierzających do poprawy komunikacji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567" w:hanging="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 xml:space="preserve">C3. Uwrażliwienie na </w:t>
      </w:r>
      <w:r>
        <w:rPr>
          <w:rFonts w:eastAsia="Times New Roman" w:cs="Times New Roman" w:ascii="Calibri" w:hAnsi="Calibri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 xml:space="preserve"> możliwe problemy moralne i etyczne w pracy pedagogicznej i aktywne poszukiwanie ich rozwiązania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left="1134" w:hanging="567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>
      <w:pPr>
        <w:pStyle w:val="Normal"/>
        <w:ind w:left="49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rFonts w:ascii="Calibri" w:hAnsi="Calibri" w:cs="Times New Roman"/>
          <w:bCs/>
          <w:color w:val="000000"/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</w:r>
    </w:p>
    <w:p>
      <w:pPr>
        <w:pStyle w:val="Normal"/>
        <w:ind w:left="498" w:hanging="498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ab/>
      </w:r>
      <w:r>
        <w:rPr>
          <w:rFonts w:cs="Times New Roman" w:ascii="Calibri" w:hAnsi="Calibri"/>
          <w:b/>
          <w:bCs/>
          <w:color w:val="000000"/>
          <w:sz w:val="24"/>
          <w:szCs w:val="24"/>
        </w:rPr>
        <w:t>Ćwiczenia:</w:t>
      </w:r>
    </w:p>
    <w:p>
      <w:pPr>
        <w:pStyle w:val="Normal"/>
        <w:widowControl w:val="false"/>
        <w:suppressAutoHyphens w:val="true"/>
        <w:bidi w:val="0"/>
        <w:spacing w:before="0" w:after="0"/>
        <w:ind w:left="567" w:right="0" w:hanging="0"/>
        <w:jc w:val="left"/>
        <w:rPr>
          <w:rFonts w:ascii="Calibri" w:hAnsi="Calibri" w:eastAsia="Times New Roman" w:cs="Times New Roman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</w:pPr>
      <w:r>
        <w:rPr>
          <w:rFonts w:eastAsia="Times New Roman" w:cs="Times New Roman" w:ascii="Calibri" w:hAnsi="Calibr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1. Pojęcie wykluczenia społecznego i jego uwarunkowania</w:t>
      </w:r>
    </w:p>
    <w:p>
      <w:pPr>
        <w:pStyle w:val="Normal"/>
        <w:widowControl w:val="false"/>
        <w:suppressAutoHyphens w:val="true"/>
        <w:bidi w:val="0"/>
        <w:spacing w:before="0" w:after="0"/>
        <w:ind w:left="567" w:right="0" w:hanging="0"/>
        <w:jc w:val="left"/>
        <w:rPr>
          <w:rFonts w:ascii="Calibri" w:hAnsi="Calibri" w:eastAsia="Times New Roman" w:cs="Times New Roman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</w:pPr>
      <w:r>
        <w:rPr>
          <w:rFonts w:eastAsia="Times New Roman" w:cs="Times New Roman" w:ascii="Calibri" w:hAnsi="Calibr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2.kompetencji interpersonalnych</w:t>
      </w:r>
    </w:p>
    <w:p>
      <w:pPr>
        <w:pStyle w:val="Normal"/>
        <w:widowControl w:val="false"/>
        <w:suppressAutoHyphens w:val="true"/>
        <w:bidi w:val="0"/>
        <w:spacing w:before="0" w:after="0"/>
        <w:ind w:left="567" w:right="0" w:hanging="0"/>
        <w:jc w:val="left"/>
        <w:rPr>
          <w:rFonts w:ascii="Calibri" w:hAnsi="Calibri" w:eastAsia="Times New Roman" w:cs="Times New Roman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</w:pPr>
      <w:r>
        <w:rPr>
          <w:rFonts w:eastAsia="Times New Roman" w:cs="Times New Roman" w:ascii="Calibri" w:hAnsi="Calibr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3. Metody radzenia sobie ze stresem</w:t>
      </w:r>
    </w:p>
    <w:p>
      <w:pPr>
        <w:pStyle w:val="Normal"/>
        <w:widowControl w:val="false"/>
        <w:suppressAutoHyphens w:val="true"/>
        <w:bidi w:val="0"/>
        <w:spacing w:before="0" w:after="0"/>
        <w:ind w:left="567" w:right="0" w:hanging="0"/>
        <w:jc w:val="left"/>
        <w:rPr>
          <w:rFonts w:ascii="Calibri" w:hAnsi="Calibri" w:eastAsia="Times New Roman" w:cs="Times New Roman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</w:pPr>
      <w:r>
        <w:rPr>
          <w:rFonts w:eastAsia="Times New Roman" w:cs="Times New Roman" w:ascii="Calibri" w:hAnsi="Calibr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4.Rozwiązywanie konfliktów (trudności, strategie, formy)</w:t>
      </w:r>
    </w:p>
    <w:p>
      <w:pPr>
        <w:pStyle w:val="Normal"/>
        <w:widowControl w:val="false"/>
        <w:suppressAutoHyphens w:val="true"/>
        <w:bidi w:val="0"/>
        <w:spacing w:before="0" w:after="0"/>
        <w:ind w:left="567" w:right="0" w:hanging="0"/>
        <w:jc w:val="left"/>
        <w:rPr>
          <w:rFonts w:ascii="Calibri" w:hAnsi="Calibri" w:eastAsia="Times New Roman" w:cs="Times New Roman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</w:pPr>
      <w:r>
        <w:rPr>
          <w:rFonts w:eastAsia="Times New Roman" w:cs="Times New Roman" w:ascii="Calibri" w:hAnsi="Calibr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5.Błędy w komunikacji</w:t>
      </w:r>
    </w:p>
    <w:p>
      <w:pPr>
        <w:pStyle w:val="Normal"/>
        <w:rPr>
          <w:rFonts w:cs="Times New Roman"/>
          <w:iCs/>
          <w:color w:val="000000"/>
          <w:sz w:val="20"/>
          <w:szCs w:val="20"/>
        </w:rPr>
      </w:pPr>
      <w:r>
        <w:rPr>
          <w:rFonts w:ascii="Calibri" w:hAnsi="Calibri"/>
        </w:rPr>
      </w:r>
    </w:p>
    <w:p>
      <w:pPr>
        <w:pStyle w:val="Normal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/>
      </w:r>
    </w:p>
    <w:p>
      <w:pPr>
        <w:pStyle w:val="Tretekstu"/>
        <w:spacing w:lineRule="auto" w:line="276"/>
        <w:ind w:hanging="0"/>
        <w:rPr/>
      </w:pPr>
      <w:r>
        <w:rPr/>
      </w:r>
    </w:p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left="1134" w:hanging="567"/>
        <w:rPr>
          <w:rFonts w:ascii="Calibri" w:hAnsi="Calibri" w:cs="Calibri" w:asciiTheme="minorHAnsi" w:cs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45"/>
        <w:gridCol w:w="6830"/>
        <w:gridCol w:w="1773"/>
      </w:tblGrid>
      <w:tr>
        <w:trPr>
          <w:trHeight w:val="980" w:hRule="atLeast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(symbol)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Student, który zaliczył 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Odniesienie do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kierunkowych efektów uczenia się</w:t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</w:rPr>
        <w:t>wiedzy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49"/>
        <w:gridCol w:w="6830"/>
        <w:gridCol w:w="1777"/>
      </w:tblGrid>
      <w:tr>
        <w:trPr>
          <w:trHeight w:val="282" w:hRule="atLeast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Times New Roman" w:cs="Times New Roman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  <w:t>Zna i posługuje się terminologią używaną w pedagogice oraz naukach pokrewnych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PED1A_W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01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Times New Roman" w:cs="Times New Roman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  <w:t>Zna współczesne kierunki rozwoju pedagogiki, potrafi je określać i precyzować w zakresie pracy z osobami wykluczonymi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PED1A_W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03</w:t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</w:rPr>
        <w:t>umiejętności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40"/>
        <w:gridCol w:w="6825"/>
        <w:gridCol w:w="1773"/>
      </w:tblGrid>
      <w:tr>
        <w:trPr>
          <w:trHeight w:val="285" w:hRule="atLeast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U01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Times New Roman" w:cs="Times New Roman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  <w:t>W sposób klarowny i spójny wypowiada się w mowie i w piśmie, potrafi precyzować wypowiedzi, dba o komunikatywność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PED1A_U</w:t>
            </w: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</w:r>
          </w:p>
        </w:tc>
      </w:tr>
      <w:tr>
        <w:trPr>
          <w:trHeight w:val="322" w:hRule="atLeast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Times New Roman" w:cs="Times New Roman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  <w:t>Twórczo i aktywnie animuje pracę na rozwojem swoim i innych osób biorących udział w procesie pracy pedagogicznej i pomocowej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PED1A_U1</w:t>
            </w: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</w:rPr>
        <w:t>kompetencji społecznych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49"/>
        <w:gridCol w:w="6830"/>
        <w:gridCol w:w="1777"/>
      </w:tblGrid>
      <w:tr>
        <w:trPr>
          <w:trHeight w:val="282" w:hRule="atLeast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  <w:t xml:space="preserve"> </w:t>
            </w:r>
            <w:r>
              <w:rPr>
                <w:rFonts w:eastAsia="Times New Roman" w:cs="Times New Roman" w:ascii="Calibri" w:hAnsi="Calibri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  <w:t>Utożsamia się z działaniami podejmowanymi w pracy pedagogicznej, wartościami i celami realizowanymi w pracy pedagogicznej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PED1A_K0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6</w:t>
            </w:r>
          </w:p>
        </w:tc>
      </w:tr>
      <w:tr>
        <w:trPr>
          <w:trHeight w:val="282" w:hRule="atLeast"/>
        </w:trPr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iCs/>
                <w:color w:val="000000"/>
                <w:kern w:val="0"/>
                <w:sz w:val="21"/>
                <w:szCs w:val="21"/>
                <w:lang w:val="pl-PL" w:eastAsia="pl-PL" w:bidi="pl-PL"/>
              </w:rPr>
              <w:t>Dostrzega wagę problemów moralnych i dylematów etycznych związanych z własną i cudzą pracą; poszukiwania optymalnych rozwiązań i możliwości korygowania nieprawidłowych działań pedagogicznych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 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PED1A_K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10</w:t>
            </w:r>
          </w:p>
        </w:tc>
      </w:tr>
    </w:tbl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left="1134" w:right="-20" w:hanging="567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2"/>
        <w:gridCol w:w="1231"/>
        <w:gridCol w:w="1231"/>
        <w:gridCol w:w="1228"/>
        <w:gridCol w:w="1227"/>
        <w:gridCol w:w="1228"/>
        <w:gridCol w:w="1228"/>
        <w:gridCol w:w="1224"/>
      </w:tblGrid>
      <w:tr>
        <w:trPr/>
        <w:tc>
          <w:tcPr>
            <w:tcW w:w="1242" w:type="dxa"/>
            <w:tcBorders/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0" w:right="-11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(symbol)</w:t>
            </w:r>
          </w:p>
        </w:tc>
        <w:tc>
          <w:tcPr>
            <w:tcW w:w="1231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Egzamin ustny/</w:t>
              <w:br/>
              <w:t>pisemny/</w:t>
              <w:br/>
              <w:t>praktyczny/</w:t>
              <w:br/>
              <w:t xml:space="preserve">inny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0"/>
                <w:szCs w:val="20"/>
              </w:rPr>
              <w:t>(jaki?)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*</w:t>
            </w:r>
          </w:p>
        </w:tc>
        <w:tc>
          <w:tcPr>
            <w:tcW w:w="12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Projekt*</w:t>
            </w:r>
          </w:p>
        </w:tc>
        <w:tc>
          <w:tcPr>
            <w:tcW w:w="122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Praca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w grupie*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Inne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0"/>
                <w:szCs w:val="20"/>
              </w:rPr>
              <w:t>(jakie?)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*</w:t>
            </w:r>
          </w:p>
        </w:tc>
      </w:tr>
    </w:tbl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6"/>
        <w:gridCol w:w="408"/>
        <w:gridCol w:w="410"/>
        <w:gridCol w:w="408"/>
        <w:gridCol w:w="409"/>
        <w:gridCol w:w="413"/>
        <w:gridCol w:w="405"/>
        <w:gridCol w:w="412"/>
        <w:gridCol w:w="410"/>
        <w:gridCol w:w="408"/>
        <w:gridCol w:w="409"/>
        <w:gridCol w:w="412"/>
        <w:gridCol w:w="405"/>
        <w:gridCol w:w="409"/>
        <w:gridCol w:w="413"/>
        <w:gridCol w:w="405"/>
        <w:gridCol w:w="412"/>
        <w:gridCol w:w="410"/>
        <w:gridCol w:w="408"/>
        <w:gridCol w:w="409"/>
        <w:gridCol w:w="413"/>
        <w:gridCol w:w="397"/>
      </w:tblGrid>
      <w:tr>
        <w:trPr/>
        <w:tc>
          <w:tcPr>
            <w:tcW w:w="12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1: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2: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39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</w:tr>
      <w:tr>
        <w:trPr/>
        <w:tc>
          <w:tcPr>
            <w:tcW w:w="1236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W01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U01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K01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/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</w:tbl>
    <w:p>
      <w:pPr>
        <w:pStyle w:val="Tretekstu"/>
        <w:spacing w:lineRule="auto" w:line="276" w:before="120" w:after="120"/>
        <w:rPr>
          <w:rFonts w:ascii="Calibri" w:hAnsi="Calibri" w:cs="Calibri" w:asciiTheme="minorHAnsi" w:cstheme="minorHAnsi" w:hAnsiTheme="minorHAnsi"/>
          <w:b w:val="false"/>
          <w:bCs w:val="false"/>
          <w:i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>Adnotacja. 1: forma zajęć; 2: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left="1134" w:hanging="567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Forma zajęć: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bCs/>
          <w:iCs/>
          <w:color w:val="000000" w:themeColor="text1"/>
          <w:sz w:val="24"/>
          <w:szCs w:val="24"/>
        </w:rPr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cs="Calibri" w:ascii="Calibri" w:hAnsi="Calibri" w:asciiTheme="minorHAnsi" w:cstheme="minorHAnsi" w:hAnsi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"/>
        <w:gridCol w:w="8873"/>
      </w:tblGrid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Ocena</w:t>
            </w:r>
          </w:p>
        </w:tc>
        <w:tc>
          <w:tcPr>
            <w:tcW w:w="8873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3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50%; Student zdał kolokwium w stopniu dostatecznym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3,5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61%; Student zdał kolokwium w stopniu dostatecznym +, był aktywny na zajęciach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71%; Student zdał kolokwium w stopniu dobrym, był aktywny na zajęciach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4,5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Od 81%; Student zdał kol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o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kwium w stopniu dobrym +, był aktywny na zajęciach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91%Student zdał egzamin w stopniu bardzo dobrym, był aktywny na zajęciach 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pacing w:lineRule="auto" w:line="276" w:before="240" w:after="0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495"/>
        <w:gridCol w:w="2176"/>
        <w:gridCol w:w="2173"/>
      </w:tblGrid>
      <w:tr>
        <w:trPr>
          <w:trHeight w:val="460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Kategoria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84" w:right="8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84" w:right="8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Obciążenie studenta: studia niestacjonarne</w:t>
            </w:r>
          </w:p>
        </w:tc>
      </w:tr>
      <w:tr>
        <w:trPr>
          <w:trHeight w:val="412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1</w:t>
            </w: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kern w:val="0"/>
              </w:rPr>
              <w:t>Udział w ćwiczeniach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Przygotowanie do egzaminu/kolokwium*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1</w:t>
            </w: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ŁĄCZNA LICZBA GODZIN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PUNKTY ECTS za przedmiot (zajęcia)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</w:tbl>
    <w:p>
      <w:pPr>
        <w:pStyle w:val="Normal"/>
        <w:spacing w:lineRule="auto" w:line="276" w:before="360" w:after="120"/>
        <w:ind w:left="255" w:hanging="0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0"/>
          <w:szCs w:val="20"/>
        </w:rPr>
        <w:t>*niepotrzebne usunąć</w:t>
      </w:r>
    </w:p>
    <w:p>
      <w:pPr>
        <w:pStyle w:val="Normal"/>
        <w:spacing w:lineRule="auto" w:line="276" w:before="480" w:after="36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>
      <w:pPr>
        <w:pStyle w:val="Normal"/>
        <w:tabs>
          <w:tab w:val="clear" w:pos="720"/>
          <w:tab w:val="left" w:pos="10206" w:leader="dot"/>
        </w:tabs>
        <w:snapToGrid w:val="false"/>
        <w:spacing w:lineRule="auto" w:line="276" w:before="600" w:after="480"/>
        <w:ind w:firstLine="2268"/>
        <w:jc w:val="center"/>
        <w:rPr>
          <w:rFonts w:ascii="Calibri" w:hAnsi="Calibri" w:cs="Calibri" w:asciiTheme="minorHAnsi" w:cstheme="minorHAnsi" w:hAnsiTheme="minorHAnsi"/>
          <w:iCs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  <w:rPr/>
    </w:lvl>
  </w:abstractNum>
  <w:abstractNum w:abstractNumId="3"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  <w:rPr/>
    </w:lvl>
  </w:abstractNum>
  <w:abstractNum w:abstractNumId="4"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63f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9d2d35"/>
    <w:pPr>
      <w:keepNext w:val="true"/>
      <w:keepLines/>
      <w:spacing w:before="240" w:after="0"/>
      <w:outlineLvl w:val="0"/>
    </w:pPr>
    <w:rPr>
      <w:rFonts w:ascii="Cambria" w:hAnsi="Cambria" w:eastAsia="宋体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4b30d1"/>
    <w:pPr>
      <w:keepNext w:val="true"/>
      <w:keepLines/>
      <w:numPr>
        <w:ilvl w:val="0"/>
        <w:numId w:val="1"/>
      </w:numPr>
      <w:shd w:val="clear" w:color="auto" w:fill="ECF1F8"/>
      <w:spacing w:before="40" w:after="0"/>
      <w:ind w:right="547" w:hanging="0"/>
      <w:outlineLvl w:val="1"/>
    </w:pPr>
    <w:rPr>
      <w:rFonts w:ascii="Calibri" w:hAnsi="Calibri" w:eastAsia="宋体" w:cs="Calibri" w:asciiTheme="minorHAnsi" w:cstheme="minorHAnsi" w:eastAsiaTheme="majorEastAsia" w:hAnsiTheme="minorHAnsi"/>
      <w:b/>
      <w:bCs/>
      <w:sz w:val="20"/>
      <w:szCs w:val="20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4501ed"/>
    <w:pPr>
      <w:keepNext w:val="true"/>
      <w:keepLines/>
      <w:spacing w:before="40" w:after="0"/>
      <w:outlineLvl w:val="2"/>
    </w:pPr>
    <w:rPr>
      <w:rFonts w:ascii="Cambria" w:hAnsi="Cambria" w:eastAsia="宋体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d2d35"/>
    <w:rPr>
      <w:rFonts w:ascii="Cambria" w:hAnsi="Cambria" w:eastAsia="宋体" w:cs="" w:asciiTheme="majorHAnsi" w:cstheme="majorBidi" w:eastAsiaTheme="majorEastAsia" w:hAnsiTheme="majorHAnsi"/>
      <w:color w:val="365F91" w:themeColor="accent1" w:themeShade="bf"/>
      <w:sz w:val="32"/>
      <w:szCs w:val="32"/>
      <w:lang w:val="pl-PL" w:eastAsia="pl-PL" w:bidi="pl-PL"/>
    </w:rPr>
  </w:style>
  <w:style w:type="character" w:styleId="Nagwek2Znak" w:customStyle="1">
    <w:name w:val="Nagłówek 2 Znak"/>
    <w:basedOn w:val="DefaultParagraphFont"/>
    <w:uiPriority w:val="9"/>
    <w:qFormat/>
    <w:rsid w:val="004b30d1"/>
    <w:rPr>
      <w:rFonts w:eastAsia="宋体" w:cs="Calibri" w:cstheme="minorHAnsi" w:eastAsiaTheme="majorEastAsia"/>
      <w:b/>
      <w:bCs/>
      <w:sz w:val="20"/>
      <w:szCs w:val="20"/>
      <w:shd w:fill="ECF1F8" w:val="clear"/>
      <w:lang w:val="pl-PL" w:eastAsia="pl-PL" w:bidi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c2d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4c2d66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2d66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sid w:val="006e60c3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Nagwek3Znak" w:customStyle="1">
    <w:name w:val="Nagłówek 3 Znak"/>
    <w:basedOn w:val="DefaultParagraphFont"/>
    <w:uiPriority w:val="9"/>
    <w:qFormat/>
    <w:rsid w:val="004501ed"/>
    <w:rPr>
      <w:rFonts w:ascii="Cambria" w:hAnsi="Cambria" w:eastAsia="宋体" w:cs="" w:asciiTheme="majorHAnsi" w:cstheme="majorBidi" w:eastAsiaTheme="majorEastAsia" w:hAnsiTheme="majorHAnsi"/>
      <w:color w:val="243F60" w:themeColor="accent1" w:themeShade="7f"/>
      <w:sz w:val="24"/>
      <w:szCs w:val="24"/>
      <w:lang w:val="pl-PL" w:eastAsia="pl-PL" w:bidi="pl-PL"/>
    </w:rPr>
  </w:style>
  <w:style w:type="character" w:styleId="Styl1Znak" w:customStyle="1">
    <w:name w:val="Styl1 Znak"/>
    <w:basedOn w:val="Nagwek3Znak"/>
    <w:link w:val="Styl1"/>
    <w:qFormat/>
    <w:rsid w:val="004501ed"/>
    <w:rPr>
      <w:rFonts w:ascii="Calibri" w:hAnsi="Calibri" w:eastAsia="宋体" w:cs="" w:cstheme="majorBidi" w:eastAsiaTheme="majorEastAsia"/>
      <w:i/>
      <w:color w:val="243F60" w:themeColor="accent1" w:themeShade="7f"/>
      <w:sz w:val="24"/>
      <w:szCs w:val="24"/>
      <w:lang w:val="pl-PL" w:eastAsia="pl-PL" w:bidi="pl-PL"/>
    </w:rPr>
  </w:style>
  <w:style w:type="character" w:styleId="Czeinternetowe">
    <w:name w:val="Hyperlink"/>
    <w:rPr>
      <w:color w:val="0066CC"/>
      <w:u w:val="single"/>
    </w:rPr>
  </w:style>
  <w:style w:type="character" w:styleId="WW8Num28z0">
    <w:name w:val="WW8Num28z0"/>
    <w:qFormat/>
    <w:rPr>
      <w:b w:val="false"/>
      <w:bCs/>
      <w:i w:val="false"/>
      <w:iCs w:val="false"/>
    </w:rPr>
  </w:style>
  <w:style w:type="character" w:styleId="Wyrnienie">
    <w:name w:val="Emphasis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pPr/>
    <w:rPr>
      <w:b/>
      <w:bCs/>
      <w:sz w:val="20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966" w:hanging="34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4c2d6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c2d66"/>
    <w:pPr/>
    <w:rPr>
      <w:b/>
      <w:bCs/>
    </w:rPr>
  </w:style>
  <w:style w:type="paragraph" w:styleId="Styl1" w:customStyle="1">
    <w:name w:val="Styl1"/>
    <w:basedOn w:val="Nagwek3"/>
    <w:link w:val="Styl1Znak"/>
    <w:qFormat/>
    <w:rsid w:val="004501ed"/>
    <w:pPr/>
    <w:rPr>
      <w:rFonts w:ascii="Calibri" w:hAnsi="Calibri"/>
      <w:i/>
      <w:color w:val="auto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ormalnyWeb">
    <w:name w:val="Normalny (Web)"/>
    <w:basedOn w:val="Normal"/>
    <w:qFormat/>
    <w:pPr>
      <w:spacing w:before="280" w:after="280"/>
    </w:pPr>
    <w:rPr>
      <w:rFonts w:ascii="Times New Roman" w:hAnsi="Times New Roman" w:eastAsia="Calibri" w:cs="Times New Roman"/>
      <w:color w:val="000000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28">
    <w:name w:val="WW8Num28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LibreOffice/7.5.2.2$Windows_X86_64 LibreOffice_project/53bb9681a964705cf672590721dbc85eb4d0c3a2</Application>
  <AppVersion>15.0000</AppVersion>
  <Pages>3</Pages>
  <Words>685</Words>
  <Characters>4418</Characters>
  <CharactersWithSpaces>4939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2025-12-11T11:01:00Z</dcterms:created>
  <dc:creator>Rektor UJK</dc:creator>
  <dc:description/>
  <cp:keywords>Zarządzenie nr 189-2025 Budowa programu studiów Załącznik nr 4</cp:keywords>
  <dc:language>pl-PL</dc:language>
  <cp:lastModifiedBy/>
  <cp:lastPrinted>2025-10-28T07:51:00Z</cp:lastPrinted>
  <dcterms:modified xsi:type="dcterms:W3CDTF">2026-03-13T17:55:08Z</dcterms:modified>
  <cp:revision>9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