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DF29BC" w:rsidRPr="00DF29BC">
        <w:rPr>
          <w:b w:val="0"/>
          <w:bCs w:val="0"/>
        </w:rPr>
        <w:t>0388.3.PED2.F.PCD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DF29BC" w:rsidRPr="00DF29BC">
        <w:t>Psychologia Człowieka Dorosłego</w:t>
      </w:r>
    </w:p>
    <w:p w:rsidR="004838B3" w:rsidRPr="002579A7" w:rsidRDefault="004838B3" w:rsidP="002579A7">
      <w:pPr>
        <w:pStyle w:val="Styl1"/>
        <w:spacing w:line="276" w:lineRule="auto"/>
        <w:ind w:firstLine="426"/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r w:rsidR="00DF29BC" w:rsidRPr="00DF29BC">
        <w:t>Adult Developmental Psychology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DF29B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Pedagogika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3522AC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Stacjonarne</w:t>
            </w:r>
            <w:r w:rsidR="00DF29BC">
              <w:rPr>
                <w:rFonts w:asciiTheme="minorHAnsi" w:hAnsiTheme="minorHAnsi" w:cstheme="minorHAnsi"/>
                <w:sz w:val="20"/>
                <w:szCs w:val="20"/>
              </w:rPr>
              <w:t>/niestacjonarne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DF29B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Drugiego stopnia - magisterskie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DF29B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dr Adrian Kurcbart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05C69"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DF29B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adrian.kurcbart@ujk.edu.pl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05C69"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3522AC" w:rsidRDefault="00DF29BC" w:rsidP="00DF29BC">
            <w:pPr>
              <w:rPr>
                <w:rFonts w:asciiTheme="minorHAnsi" w:hAnsiTheme="minorHAnsi" w:cstheme="minorHAnsi"/>
              </w:rPr>
            </w:pPr>
            <w:r w:rsidRPr="00DF29BC">
              <w:rPr>
                <w:rFonts w:asciiTheme="minorHAnsi" w:hAnsiTheme="minorHAnsi" w:cstheme="minorHAnsi"/>
              </w:rPr>
              <w:t>Ukończony kurs z psychologii rozwojowej i osobowości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DF29BC" w:rsidRDefault="00DC6F08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522AC" w:rsidRPr="00DF29BC">
              <w:rPr>
                <w:rFonts w:asciiTheme="minorHAnsi" w:hAnsiTheme="minorHAnsi" w:cstheme="minorHAnsi"/>
                <w:sz w:val="20"/>
                <w:szCs w:val="20"/>
              </w:rPr>
              <w:t>ykłady</w:t>
            </w: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/ćwiczenia</w:t>
            </w:r>
            <w:r w:rsidR="00DF29BC" w:rsidRPr="00DF29BC">
              <w:rPr>
                <w:rFonts w:asciiTheme="minorHAnsi" w:hAnsiTheme="minorHAnsi" w:cstheme="minorHAnsi"/>
                <w:sz w:val="20"/>
                <w:szCs w:val="20"/>
              </w:rPr>
              <w:t>/e-learning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DF29B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Egzamin; zaliczenie z oceną, zaliczenie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Wykład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wykład informacyjny (WI)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 xml:space="preserve">wykład problemowy (WP) 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wykład konwersatoryjny (WK)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 xml:space="preserve">Ćwiczenia 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 xml:space="preserve">dyskusja wielokrotna (grupowa) (DG), 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 xml:space="preserve">metaplan (MT), </w:t>
            </w:r>
          </w:p>
          <w:p w:rsidR="00DF29BC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 xml:space="preserve">dyskusja – burza mózgów (BM), </w:t>
            </w:r>
          </w:p>
          <w:p w:rsidR="00805C69" w:rsidRPr="00DF29BC" w:rsidRDefault="00DF29BC" w:rsidP="00DF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Film (FL),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1. Bee, H. (2004). Psychologia rozwoju człowieka. Poznań; Zysk i S-ka Wydawnictwo.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2. Harwas-Napierała, B. Trempała, J. (red.), (2006).  Psychologia rozwoju człowieka. Charakterystyka okresów życia człowieka. Warszawa: PWN.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3. Harwas-Napierała, B. Trempała, J. (red.), (2006). Psychologia rozwoju człowieka. Rozwój funkcji psychicznych. Warszawa: PWN.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4. Trempała, J. (red.). Psychologia Rozwoju Człowieka. Warszawa: PWN. 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5. Kielar-Turska, M. (2000). Wprowadzenie do psychologii rozwoju. W J. Strelau (red.). Psychologia t. 1, Gdańsk: GWP.</w:t>
            </w:r>
          </w:p>
          <w:p w:rsidR="00566B57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6.Sigelman, C. K., Rider, E. A. (2015). Life-Span Human Development, (8 ed.). Stamford: Cengage Learning.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1. Brzezińska, A. I. (red.). (2005) Psychologiczne portrety człowieka. Praktyczna psychologia rozwojowa. Gdańsk: GWP.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2. Kurcbart, A. (2011). Psychologiczny obraz ojca w biegu ludzkego życia. Warszawa: Difin.</w:t>
            </w:r>
          </w:p>
          <w:p w:rsidR="00DF29BC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3. Tomasello, M. (2002). Kulturowe źródła ludzkiego poznania, Warszawa: PIW.</w:t>
            </w:r>
          </w:p>
          <w:p w:rsidR="00EE4BF9" w:rsidRPr="00DF29BC" w:rsidRDefault="00DF29BC" w:rsidP="00DF29B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4. Wolański, N. (2006). Rozwój biologiczny człowieka. Warszawa: PWN.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DF29BC" w:rsidRPr="00DF29BC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</w:t>
      </w:r>
      <w:r w:rsidRPr="00DF29BC">
        <w:t xml:space="preserve"> </w:t>
      </w: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Poznanie procesów rozwoju charakterystycznych dla danego okresu życia jednostki. </w:t>
      </w:r>
    </w:p>
    <w:p w:rsidR="00DF29BC" w:rsidRPr="00DF29BC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Kształcenie umiejętności identyfikacji różnych modeli rozwoju psychiki w biegu ludzkiego życia.</w:t>
      </w:r>
    </w:p>
    <w:p w:rsidR="00DC6F08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C3.Stymulowanie pracy nad własnym rozwojem.</w:t>
      </w:r>
    </w:p>
    <w:p w:rsidR="00EE4BF9" w:rsidRPr="00EE4BF9" w:rsidRDefault="00EE4BF9" w:rsidP="00EE4BF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:rsidR="00DF29BC" w:rsidRPr="00DF29BC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 Poznanie procesów rozwoju w zakresie poszczególnych funkcji psychicznych.</w:t>
      </w:r>
    </w:p>
    <w:p w:rsidR="00DF29BC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Kształcenie umiejętności krytycznej oceny wyników badań z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zakresu psychologii rozwojowej.</w:t>
      </w:r>
    </w:p>
    <w:p w:rsidR="00DC6F08" w:rsidRPr="00DC6F08" w:rsidRDefault="00DF29BC" w:rsidP="00DF29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C3. Stymulowanie pracy nad własnym rozwojem.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Zapoznanie studentów z tematyką zająć. Wprowadzenie w problematykę rozwóju człowieka w okresie dorosłości. Podstawowe pojęcia. 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Metody badania zmian rozwojowych 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Cykle i biorytmy w rozwoju ontogenetycznym człowieka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Wyłaniająca się dorosłość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Rozwój w okresie wczesnej dorosłości – zmiany fizyczne i poznawcze 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Rozwój w okresie wczesnej dorosłości – zmiany w funkcjonowaniu społecznym i osobowości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Rozwój w okresie średniej dorosłości – zmiany fizyczne i poznawcze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Rozwój w okresie średniej dorosłości – zmiany w funkcjonowaniu społecznym i osobowości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Rozwój w okresie późnej dorosłości – zmiany fizyczne i poznawcze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Rozwój w okresie późnej dorosłości – zmiany w funkcjonowaniu społecznym i osobowości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Człowiek dorosły a rozwój duchowy i religijny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Człowiek dorosły w kontekście rodzinnym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Wspomaganie rozwoju człowieka dorosłego</w:t>
      </w:r>
    </w:p>
    <w:p w:rsidR="00DF29BC" w:rsidRPr="00DF29BC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Śmierć, umieranie, żałoba.</w:t>
      </w:r>
    </w:p>
    <w:p w:rsidR="00DC6F08" w:rsidRPr="00DC6F08" w:rsidRDefault="00DF29BC" w:rsidP="00DF29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Psychopatologia rozwojowa osób dorosłych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 Wprowadzenie w problematykę zmian rozwojowych w okresie dorosłości.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Biologiczne podstawy zmian w okresie dorosłości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Czynniki społeczne i kulturowe warunkujące zmiany w okresie dorosłości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Rozwój poznawczy z perspektywy koncepcji postpiagetowskich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Rozwój poznawczy w ujęciu teorii neopiagetowskich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Zmiany w procesach przetwarzania infromacji oraz uczenia się w dorosłoći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przypadające na poszczególne okresy dorosłości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 człowieka dorosłego cz. 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 człowieka dorosłego cz. II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Zagadnienia związane z podejmowaniem ról społecznych w życiu człowieka dorosłego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Rodzina a rozwój w okresie dorosłości.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człowieka dorosłego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Umieranie i śmierć</w:t>
      </w:r>
    </w:p>
    <w:p w:rsidR="00DF29BC" w:rsidRPr="00DF29BC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Kolokwium zaliczeniowe</w:t>
      </w:r>
    </w:p>
    <w:p w:rsidR="006D764F" w:rsidRDefault="00DF29BC" w:rsidP="00DF29BC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Omówienie wyników kolokwium zaliczeniowego.</w:t>
      </w:r>
    </w:p>
    <w:p w:rsidR="00DF29BC" w:rsidRDefault="00DF29BC" w:rsidP="00DF29BC">
      <w:pPr>
        <w:pStyle w:val="TableParagraph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F29BC" w:rsidRPr="00DF29BC" w:rsidRDefault="00DF29BC" w:rsidP="00DF29BC">
      <w:pPr>
        <w:pStyle w:val="TableParagrap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</w:t>
      </w:r>
      <w:r w:rsidRPr="00DF29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E-learning</w:t>
      </w:r>
    </w:p>
    <w:p w:rsidR="00DF29BC" w:rsidRPr="00DF29BC" w:rsidRDefault="00DF29BC" w:rsidP="00DF29BC">
      <w:pPr>
        <w:pStyle w:val="TableParagraph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Przygotowanie zajęć psychoedukacyjnych z zakresu rozwoju człowiek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dorosłego dla osób należących </w:t>
      </w:r>
      <w:r w:rsidRPr="00DF29BC">
        <w:rPr>
          <w:rFonts w:asciiTheme="minorHAnsi" w:hAnsiTheme="minorHAnsi" w:cstheme="minorHAnsi"/>
          <w:color w:val="000000" w:themeColor="text1"/>
          <w:sz w:val="24"/>
          <w:szCs w:val="24"/>
        </w:rPr>
        <w:t>do wybranego okresu rozwojowego zapisanych w formie elektronicznej wraz z prezentacją slajdów.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F29BC" w:rsidRPr="00341AC4" w:rsidTr="00A4610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F29BC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DF29BC" w:rsidRPr="00501548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>terminologię, teorię i metodologię badań rozwojowych w biegu ludzkiego życia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PED2A_W01</w:t>
            </w:r>
          </w:p>
        </w:tc>
      </w:tr>
      <w:tr w:rsidR="00DF29BC" w:rsidRPr="00341AC4" w:rsidTr="00A4610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rozwój człowieka obejmujący zagadnienia z dyscyplin pokrewnych takich jak medycyna, czy socjologia.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PED2A_W05</w:t>
            </w:r>
          </w:p>
        </w:tc>
      </w:tr>
      <w:tr w:rsidR="00DF29BC" w:rsidRPr="00341AC4" w:rsidTr="00A4610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modele rozwoju w dorosłości 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PED2A_W06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F29BC" w:rsidRPr="00341AC4" w:rsidTr="009E15F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F29BC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>prawidłowo interpretować i wyjaśniać zjawiska związane z rozwojem człowieka dorosłego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PED2A_U01</w:t>
            </w:r>
          </w:p>
        </w:tc>
      </w:tr>
      <w:tr w:rsidR="00DF29BC" w:rsidRPr="00341AC4" w:rsidTr="009E15F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>wykorzystać wiedzę teoretyczną z zakresu rozwoju w biegu życia do opisu i analizowania przyczyn i przebiegu procesów i zjawisk społecznych oraz potrafi wykorzystać ją w procesie diagnozy w ramach subdyscyplin składających się na psychologię stosowaną.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PED2A_U03</w:t>
            </w:r>
          </w:p>
        </w:tc>
      </w:tr>
      <w:tr w:rsidR="00DF29BC" w:rsidRPr="00341AC4" w:rsidTr="009E15F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eastAsia="Arial" w:hAnsiTheme="minorHAnsi" w:cstheme="minorHAnsi"/>
                <w:sz w:val="20"/>
                <w:szCs w:val="20"/>
              </w:rPr>
              <w:t>wykorzystywać wiedzę o rozwoju człowieka dorosłego do działań profilaktycznych, wychowawczych czy terapeutycznych.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PED2A_U05</w:t>
            </w:r>
          </w:p>
        </w:tc>
      </w:tr>
      <w:tr w:rsidR="00DF29BC" w:rsidRPr="00341AC4" w:rsidTr="009E15F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korzystać z teorii uczenia się ustawicznego i jest świadomy wagi aktywności własnej w stymulowaniu różnych obszarów rozwoju po adolescencji.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9BC" w:rsidRPr="00DF29BC" w:rsidRDefault="00DF29BC" w:rsidP="00DF29B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PED2A_U15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F29BC" w:rsidRPr="00341AC4" w:rsidTr="00104DA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F29BC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DF29BC" w:rsidRPr="00341AC4" w:rsidRDefault="00DF29BC" w:rsidP="00DF29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aktywnego wykorzystania zdobytej wiedzy z zakresu rozwoju człowieka dorosłego zarówno w ramach działalności indywidualnej, jak również w zespołach interdyscyplinarnych.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9BC" w:rsidRPr="00DF29BC" w:rsidRDefault="00DF29BC" w:rsidP="00DF29B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C">
              <w:rPr>
                <w:rFonts w:asciiTheme="minorHAnsi" w:hAnsiTheme="minorHAnsi" w:cstheme="minorHAnsi"/>
                <w:sz w:val="20"/>
                <w:szCs w:val="20"/>
              </w:rPr>
              <w:t>PED2A_K02</w:t>
            </w:r>
          </w:p>
        </w:tc>
      </w:tr>
    </w:tbl>
    <w:p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174CD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174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174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174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174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74CDC" w:rsidRPr="00341AC4" w:rsidTr="003E69F6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3E69F6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3E69F6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408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74CDC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174CDC" w:rsidRPr="00341AC4" w:rsidRDefault="00174CDC" w:rsidP="00174CD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74CDC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74CDC" w:rsidRPr="00341AC4" w:rsidTr="00840778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50 % punktów z egzaminu</w:t>
            </w:r>
          </w:p>
        </w:tc>
      </w:tr>
      <w:tr w:rsidR="00174CDC" w:rsidRPr="00341AC4" w:rsidTr="00840778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61 % punktów z egzaminu</w:t>
            </w:r>
          </w:p>
        </w:tc>
      </w:tr>
      <w:tr w:rsidR="00174CDC" w:rsidRPr="00341AC4" w:rsidTr="00840778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71 % punktów z egzaminu</w:t>
            </w:r>
          </w:p>
        </w:tc>
      </w:tr>
      <w:tr w:rsidR="00174CDC" w:rsidRPr="00341AC4" w:rsidTr="00840778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81 % punktów z egzaminu</w:t>
            </w:r>
          </w:p>
        </w:tc>
      </w:tr>
      <w:tr w:rsidR="00174CDC" w:rsidRPr="00341AC4" w:rsidTr="00840778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91 % punktów z egzaminu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74CDC" w:rsidRPr="00341AC4" w:rsidTr="00932C7F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50 % punktów z kolokwium zaliczeniowego, aktywność na zajęciach</w:t>
            </w:r>
          </w:p>
        </w:tc>
      </w:tr>
      <w:tr w:rsidR="00174CDC" w:rsidRPr="00341AC4" w:rsidTr="00932C7F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61 % punktów z kolokwium zaliczeniowego, aktywność na zajęciach</w:t>
            </w:r>
          </w:p>
        </w:tc>
      </w:tr>
      <w:tr w:rsidR="00174CDC" w:rsidRPr="00341AC4" w:rsidTr="00932C7F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71 % punktów z kolokwium zaliczeniowego, aktywność na zajęciach</w:t>
            </w:r>
          </w:p>
        </w:tc>
      </w:tr>
      <w:tr w:rsidR="00174CDC" w:rsidRPr="00341AC4" w:rsidTr="00932C7F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81 % punktów z kolokwium zaliczeniowego, aktywność na zajęciach</w:t>
            </w:r>
          </w:p>
        </w:tc>
      </w:tr>
      <w:tr w:rsidR="00174CDC" w:rsidRPr="00341AC4" w:rsidTr="00932C7F">
        <w:trPr>
          <w:jc w:val="center"/>
        </w:trPr>
        <w:tc>
          <w:tcPr>
            <w:tcW w:w="953" w:type="dxa"/>
          </w:tcPr>
          <w:p w:rsidR="00174CDC" w:rsidRPr="00341AC4" w:rsidRDefault="00174CDC" w:rsidP="00174C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174CDC">
            <w:pPr>
              <w:snapToGrid w:val="0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91 % punktów z kolokwium zaliczeniowego, aktywność na zajęciach</w:t>
            </w:r>
          </w:p>
        </w:tc>
      </w:tr>
    </w:tbl>
    <w:p w:rsidR="00174CDC" w:rsidRDefault="00174CDC" w:rsidP="00174CD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174CDC" w:rsidRDefault="00174CDC" w:rsidP="00174CD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E-Learning (E</w:t>
      </w: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174CDC" w:rsidRPr="00341AC4" w:rsidTr="00E91A5C">
        <w:trPr>
          <w:jc w:val="center"/>
        </w:trPr>
        <w:tc>
          <w:tcPr>
            <w:tcW w:w="953" w:type="dxa"/>
          </w:tcPr>
          <w:p w:rsidR="00174CDC" w:rsidRPr="00341AC4" w:rsidRDefault="00174CDC" w:rsidP="00E91A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174CDC" w:rsidRPr="00341AC4" w:rsidRDefault="00174CDC" w:rsidP="00E91A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74CDC" w:rsidRPr="00341AC4" w:rsidTr="00E91A5C">
        <w:trPr>
          <w:jc w:val="center"/>
        </w:trPr>
        <w:tc>
          <w:tcPr>
            <w:tcW w:w="953" w:type="dxa"/>
          </w:tcPr>
          <w:p w:rsidR="00174CDC" w:rsidRPr="00341AC4" w:rsidRDefault="00174CDC" w:rsidP="00E91A5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DC" w:rsidRPr="00877508" w:rsidRDefault="00174CDC" w:rsidP="00E91A5C">
            <w:pPr>
              <w:snapToGrid w:val="0"/>
              <w:rPr>
                <w:sz w:val="20"/>
                <w:szCs w:val="20"/>
              </w:rPr>
            </w:pPr>
            <w:r w:rsidRPr="00174CDC">
              <w:rPr>
                <w:sz w:val="20"/>
                <w:szCs w:val="20"/>
              </w:rPr>
              <w:t>złożenie projektu w terminie wyznaczonym w trakcie trwania zajęć</w:t>
            </w:r>
          </w:p>
        </w:tc>
      </w:tr>
    </w:tbl>
    <w:p w:rsidR="00174CDC" w:rsidRDefault="00174CDC" w:rsidP="00174CDC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174CDC" w:rsidRPr="00341AC4" w:rsidTr="001D601D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DC" w:rsidRPr="00341AC4" w:rsidRDefault="00174CDC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174CDC" w:rsidRPr="00341AC4" w:rsidRDefault="00174CDC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174CDC" w:rsidRPr="00341AC4" w:rsidRDefault="00174CDC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74C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Obciążenie studenta: studia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</w:t>
            </w:r>
            <w:r w:rsidRPr="00174CD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</w:tr>
      <w:tr w:rsidR="00174CDC" w:rsidRPr="00341AC4" w:rsidTr="0058693E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22</w:t>
            </w:r>
          </w:p>
        </w:tc>
      </w:tr>
      <w:tr w:rsidR="00174CDC" w:rsidRPr="00341AC4" w:rsidTr="0058693E">
        <w:trPr>
          <w:trHeight w:val="282"/>
          <w:jc w:val="center"/>
        </w:trPr>
        <w:tc>
          <w:tcPr>
            <w:tcW w:w="549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10</w:t>
            </w:r>
          </w:p>
        </w:tc>
      </w:tr>
      <w:tr w:rsidR="00174CDC" w:rsidRPr="00341AC4" w:rsidTr="0058693E">
        <w:trPr>
          <w:trHeight w:val="282"/>
          <w:jc w:val="center"/>
        </w:trPr>
        <w:tc>
          <w:tcPr>
            <w:tcW w:w="549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10</w:t>
            </w:r>
          </w:p>
        </w:tc>
      </w:tr>
      <w:tr w:rsidR="00174CDC" w:rsidRPr="00341AC4" w:rsidTr="0058693E">
        <w:trPr>
          <w:trHeight w:val="282"/>
          <w:jc w:val="center"/>
        </w:trPr>
        <w:tc>
          <w:tcPr>
            <w:tcW w:w="5499" w:type="dxa"/>
          </w:tcPr>
          <w:p w:rsidR="00174CDC" w:rsidRPr="006A7968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4CDC" w:rsidRPr="00341AC4" w:rsidTr="0058693E">
        <w:trPr>
          <w:trHeight w:val="282"/>
          <w:jc w:val="center"/>
        </w:trPr>
        <w:tc>
          <w:tcPr>
            <w:tcW w:w="5499" w:type="dxa"/>
          </w:tcPr>
          <w:p w:rsidR="00174CDC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74C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2</w:t>
            </w:r>
            <w:bookmarkStart w:id="1" w:name="_GoBack"/>
            <w:bookmarkEnd w:id="1"/>
          </w:p>
        </w:tc>
      </w:tr>
      <w:tr w:rsidR="00174CDC" w:rsidRPr="00341AC4" w:rsidTr="0058693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28</w:t>
            </w:r>
          </w:p>
        </w:tc>
      </w:tr>
      <w:tr w:rsidR="00174CDC" w:rsidRPr="00341AC4" w:rsidTr="0058693E">
        <w:trPr>
          <w:trHeight w:val="285"/>
          <w:jc w:val="center"/>
        </w:trPr>
        <w:tc>
          <w:tcPr>
            <w:tcW w:w="549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20</w:t>
            </w:r>
          </w:p>
        </w:tc>
      </w:tr>
      <w:tr w:rsidR="00174CDC" w:rsidRPr="00341AC4" w:rsidTr="0058693E">
        <w:trPr>
          <w:trHeight w:val="285"/>
          <w:jc w:val="center"/>
        </w:trPr>
        <w:tc>
          <w:tcPr>
            <w:tcW w:w="5499" w:type="dxa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sz w:val="20"/>
                <w:szCs w:val="20"/>
              </w:rPr>
              <w:t>8</w:t>
            </w:r>
          </w:p>
        </w:tc>
      </w:tr>
      <w:tr w:rsidR="00174CDC" w:rsidRPr="00341AC4" w:rsidTr="0058693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50</w:t>
            </w:r>
          </w:p>
        </w:tc>
      </w:tr>
      <w:tr w:rsidR="00174CDC" w:rsidRPr="00341AC4" w:rsidTr="0058693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74CDC" w:rsidRPr="00341AC4" w:rsidRDefault="00174CDC" w:rsidP="00174C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74CDC" w:rsidRPr="00877508" w:rsidRDefault="00174CDC" w:rsidP="00174CDC">
            <w:pPr>
              <w:snapToGrid w:val="0"/>
              <w:jc w:val="center"/>
              <w:rPr>
                <w:sz w:val="20"/>
                <w:szCs w:val="20"/>
              </w:rPr>
            </w:pPr>
            <w:r w:rsidRPr="00877508">
              <w:rPr>
                <w:b/>
                <w:sz w:val="20"/>
                <w:szCs w:val="20"/>
              </w:rPr>
              <w:t>2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1E36FB"/>
    <w:multiLevelType w:val="hybridMultilevel"/>
    <w:tmpl w:val="CFEA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632E5D"/>
    <w:multiLevelType w:val="hybridMultilevel"/>
    <w:tmpl w:val="CFEA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C88632B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4"/>
  </w:num>
  <w:num w:numId="3">
    <w:abstractNumId w:val="20"/>
  </w:num>
  <w:num w:numId="4">
    <w:abstractNumId w:val="38"/>
  </w:num>
  <w:num w:numId="5">
    <w:abstractNumId w:val="2"/>
  </w:num>
  <w:num w:numId="6">
    <w:abstractNumId w:val="36"/>
  </w:num>
  <w:num w:numId="7">
    <w:abstractNumId w:val="11"/>
  </w:num>
  <w:num w:numId="8">
    <w:abstractNumId w:val="19"/>
  </w:num>
  <w:num w:numId="9">
    <w:abstractNumId w:val="8"/>
  </w:num>
  <w:num w:numId="10">
    <w:abstractNumId w:val="27"/>
  </w:num>
  <w:num w:numId="11">
    <w:abstractNumId w:val="28"/>
  </w:num>
  <w:num w:numId="12">
    <w:abstractNumId w:val="35"/>
  </w:num>
  <w:num w:numId="13">
    <w:abstractNumId w:val="14"/>
  </w:num>
  <w:num w:numId="14">
    <w:abstractNumId w:val="31"/>
  </w:num>
  <w:num w:numId="15">
    <w:abstractNumId w:val="34"/>
  </w:num>
  <w:num w:numId="16">
    <w:abstractNumId w:val="32"/>
  </w:num>
  <w:num w:numId="17">
    <w:abstractNumId w:val="22"/>
  </w:num>
  <w:num w:numId="18">
    <w:abstractNumId w:val="10"/>
  </w:num>
  <w:num w:numId="19">
    <w:abstractNumId w:val="15"/>
  </w:num>
  <w:num w:numId="20">
    <w:abstractNumId w:val="1"/>
  </w:num>
  <w:num w:numId="21">
    <w:abstractNumId w:val="23"/>
  </w:num>
  <w:num w:numId="22">
    <w:abstractNumId w:val="26"/>
  </w:num>
  <w:num w:numId="23">
    <w:abstractNumId w:val="0"/>
  </w:num>
  <w:num w:numId="24">
    <w:abstractNumId w:val="39"/>
  </w:num>
  <w:num w:numId="25">
    <w:abstractNumId w:val="13"/>
  </w:num>
  <w:num w:numId="26">
    <w:abstractNumId w:val="21"/>
  </w:num>
  <w:num w:numId="27">
    <w:abstractNumId w:val="40"/>
  </w:num>
  <w:num w:numId="28">
    <w:abstractNumId w:val="16"/>
  </w:num>
  <w:num w:numId="29">
    <w:abstractNumId w:val="30"/>
  </w:num>
  <w:num w:numId="30">
    <w:abstractNumId w:val="5"/>
  </w:num>
  <w:num w:numId="31">
    <w:abstractNumId w:val="18"/>
  </w:num>
  <w:num w:numId="32">
    <w:abstractNumId w:val="25"/>
  </w:num>
  <w:num w:numId="33">
    <w:abstractNumId w:val="3"/>
  </w:num>
  <w:num w:numId="34">
    <w:abstractNumId w:val="17"/>
  </w:num>
  <w:num w:numId="35">
    <w:abstractNumId w:val="9"/>
  </w:num>
  <w:num w:numId="36">
    <w:abstractNumId w:val="29"/>
  </w:num>
  <w:num w:numId="37">
    <w:abstractNumId w:val="7"/>
  </w:num>
  <w:num w:numId="38">
    <w:abstractNumId w:val="24"/>
  </w:num>
  <w:num w:numId="39">
    <w:abstractNumId w:val="6"/>
  </w:num>
  <w:num w:numId="40">
    <w:abstractNumId w:val="1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2EA1"/>
    <w:rsid w:val="001373A5"/>
    <w:rsid w:val="00145EC7"/>
    <w:rsid w:val="00174CDC"/>
    <w:rsid w:val="001937BF"/>
    <w:rsid w:val="001D18A7"/>
    <w:rsid w:val="001D511D"/>
    <w:rsid w:val="001E0ADE"/>
    <w:rsid w:val="001E7B5A"/>
    <w:rsid w:val="00204C4C"/>
    <w:rsid w:val="002401BA"/>
    <w:rsid w:val="00255A49"/>
    <w:rsid w:val="002579A7"/>
    <w:rsid w:val="0027397F"/>
    <w:rsid w:val="00332E95"/>
    <w:rsid w:val="00334D16"/>
    <w:rsid w:val="00341AC4"/>
    <w:rsid w:val="0034602B"/>
    <w:rsid w:val="003522AC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05C69"/>
    <w:rsid w:val="00823B29"/>
    <w:rsid w:val="00826ADD"/>
    <w:rsid w:val="00834C51"/>
    <w:rsid w:val="00862E0A"/>
    <w:rsid w:val="00896E3C"/>
    <w:rsid w:val="008B336A"/>
    <w:rsid w:val="008E3C86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C6F08"/>
    <w:rsid w:val="00DD65E8"/>
    <w:rsid w:val="00DE1F53"/>
    <w:rsid w:val="00DF29BC"/>
    <w:rsid w:val="00E17D02"/>
    <w:rsid w:val="00E30DA9"/>
    <w:rsid w:val="00E320A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DDB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CDC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DF2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6736-3F38-4AB8-B262-CCD6844C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21</cp:revision>
  <cp:lastPrinted>2025-10-28T07:51:00Z</cp:lastPrinted>
  <dcterms:created xsi:type="dcterms:W3CDTF">2026-02-16T21:51:00Z</dcterms:created>
  <dcterms:modified xsi:type="dcterms:W3CDTF">2026-06-30T19:23:00Z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