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3BFB">
      <w:pPr>
        <w:pStyle w:val="1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6F25C9F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86A04A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67EEA8D0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/>
          <w:b/>
          <w:color w:val="auto"/>
          <w:sz w:val="24"/>
          <w:szCs w:val="24"/>
        </w:rPr>
        <w:t>0113.1.PSP.D2.RMDWGZ</w:t>
      </w:r>
    </w:p>
    <w:p w14:paraId="3BDAF5F6">
      <w:pPr>
        <w:pStyle w:val="4"/>
        <w:spacing w:line="276" w:lineRule="auto"/>
        <w:ind w:firstLine="426"/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Realizacja i monitoring działań wspierających w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         grupach zróżnicowanych</w:t>
      </w:r>
    </w:p>
    <w:p w14:paraId="54F2B285">
      <w:pPr>
        <w:pStyle w:val="23"/>
        <w:spacing w:line="276" w:lineRule="auto"/>
        <w:ind w:firstLine="426"/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Realisation and Monitoring of Supporting Activities 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 in Diverse Groups</w:t>
      </w:r>
    </w:p>
    <w:p w14:paraId="200D17D0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49D6B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4271F974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  <w:vAlign w:val="top"/>
          </w:tcPr>
          <w:p w14:paraId="6822505E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Pedagogika specjalna</w:t>
            </w:r>
          </w:p>
        </w:tc>
      </w:tr>
      <w:tr w14:paraId="63AF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19D57ED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  <w:vAlign w:val="top"/>
          </w:tcPr>
          <w:p w14:paraId="519C8F3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  <w:lang w:val="pl-PL"/>
              </w:rPr>
              <w:t>Studia stacjonarne /studia niestacjonarne</w:t>
            </w:r>
          </w:p>
        </w:tc>
      </w:tr>
      <w:tr w14:paraId="51DE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20C183F6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  <w:vAlign w:val="top"/>
          </w:tcPr>
          <w:p w14:paraId="4E25A4B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Studia jednolite magisterskie </w:t>
            </w:r>
          </w:p>
        </w:tc>
      </w:tr>
      <w:tr w14:paraId="2130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93793C9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  <w:vAlign w:val="top"/>
          </w:tcPr>
          <w:p w14:paraId="6E8D7E4B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1"/>
                <w:szCs w:val="21"/>
                <w:lang w:val="pl-PL"/>
              </w:rPr>
              <w:t>Ogólnoakademicki</w:t>
            </w:r>
          </w:p>
        </w:tc>
      </w:tr>
      <w:tr w14:paraId="4837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653939A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  <w:vAlign w:val="top"/>
          </w:tcPr>
          <w:p w14:paraId="7380BE9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mgr Inga Staszowska</w:t>
            </w:r>
          </w:p>
        </w:tc>
      </w:tr>
      <w:tr w14:paraId="2808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DA6C45A">
            <w:pPr>
              <w:pStyle w:val="16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  <w:vAlign w:val="top"/>
          </w:tcPr>
          <w:p w14:paraId="3617EE63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inga.staszowska@ujk.edu.pl</w:t>
            </w:r>
          </w:p>
        </w:tc>
      </w:tr>
    </w:tbl>
    <w:p w14:paraId="6A65F95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72CDF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17BF9550">
            <w:pPr>
              <w:pStyle w:val="16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7CB6AF50">
            <w:pPr>
              <w:pStyle w:val="16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 w14:paraId="5D73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22581143">
            <w:pPr>
              <w:pStyle w:val="16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719930FD">
            <w:pPr>
              <w:pStyle w:val="16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Pedagogika specjalna, Podstawy edukacji integracyjnej i włączającej</w:t>
            </w:r>
          </w:p>
        </w:tc>
      </w:tr>
    </w:tbl>
    <w:p w14:paraId="45CD045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72D9A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24883EE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  <w:vAlign w:val="top"/>
          </w:tcPr>
          <w:p w14:paraId="3DE60760">
            <w:pPr>
              <w:tabs>
                <w:tab w:val="left" w:pos="0"/>
              </w:tabs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ćwiczenia</w:t>
            </w:r>
          </w:p>
        </w:tc>
      </w:tr>
      <w:tr w14:paraId="29BF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F2BAF9F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  <w:vAlign w:val="top"/>
          </w:tcPr>
          <w:p w14:paraId="0E282139">
            <w:pPr>
              <w:pStyle w:val="25"/>
              <w:shd w:val="clear" w:color="auto" w:fill="auto"/>
              <w:spacing w:before="0" w:line="240" w:lineRule="auto"/>
              <w:ind w:firstLine="0" w:firstLineChars="0"/>
              <w:jc w:val="left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sz w:val="21"/>
                <w:szCs w:val="21"/>
              </w:rPr>
              <w:t>Zajęcia tradycyjne w pomieszczen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iach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dydaktyczny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>ch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bCs/>
                <w:sz w:val="21"/>
                <w:szCs w:val="21"/>
                <w:lang w:val="pl-PL"/>
              </w:rPr>
              <w:t xml:space="preserve">WPP </w:t>
            </w:r>
            <w:r>
              <w:rPr>
                <w:rFonts w:hint="default" w:ascii="Calibri" w:hAnsi="Calibri" w:cs="Calibri"/>
                <w:bCs/>
                <w:sz w:val="21"/>
                <w:szCs w:val="21"/>
              </w:rPr>
              <w:t>UJK</w:t>
            </w:r>
          </w:p>
        </w:tc>
      </w:tr>
      <w:tr w14:paraId="1365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2A703C4A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  <w:vAlign w:val="top"/>
          </w:tcPr>
          <w:p w14:paraId="774542A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Zaliczenie z oceną</w:t>
            </w:r>
          </w:p>
        </w:tc>
      </w:tr>
      <w:tr w14:paraId="7F2B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C152179">
            <w:pPr>
              <w:pStyle w:val="16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  <w:vAlign w:val="top"/>
          </w:tcPr>
          <w:p w14:paraId="699463D4">
            <w:pPr>
              <w:rPr>
                <w:rFonts w:hint="default" w:ascii="Calibri" w:hAnsi="Calibri" w:cs="Calibri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sz w:val="21"/>
                <w:szCs w:val="21"/>
              </w:rPr>
              <w:t>Metody podające: instruktaż, objaśnienie</w:t>
            </w:r>
          </w:p>
          <w:p w14:paraId="663B9BC0">
            <w:pPr>
              <w:rPr>
                <w:rFonts w:hint="default" w:ascii="Calibri" w:hAnsi="Calibri" w:cs="Calibri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sz w:val="21"/>
                <w:szCs w:val="21"/>
              </w:rPr>
              <w:t xml:space="preserve">Metody problemowe: klasyczna metoda problemowa </w:t>
            </w:r>
          </w:p>
          <w:p w14:paraId="19362977">
            <w:pPr>
              <w:rPr>
                <w:rFonts w:hint="default" w:ascii="Calibri" w:hAnsi="Calibri" w:cs="Calibri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bCs/>
                <w:i w:val="0"/>
                <w:iCs w:val="0"/>
                <w:color w:val="auto"/>
                <w:sz w:val="21"/>
                <w:szCs w:val="21"/>
              </w:rPr>
              <w:t>Metody eksponujące: pokaz</w:t>
            </w:r>
          </w:p>
          <w:p w14:paraId="454E032A">
            <w:pPr>
              <w:pStyle w:val="12"/>
              <w:spacing w:before="0" w:beforeAutospacing="0" w:after="0" w:afterAutospacing="0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>Metody praktyczne: ćwiczenia przedmiotowe</w:t>
            </w:r>
          </w:p>
        </w:tc>
      </w:tr>
      <w:tr w14:paraId="0F1B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A7BE23F">
            <w:pPr>
              <w:pStyle w:val="16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  <w:vAlign w:val="top"/>
          </w:tcPr>
          <w:p w14:paraId="31A8D4C7">
            <w:pPr>
              <w:pStyle w:val="2"/>
              <w:shd w:val="clear" w:color="auto" w:fill="FFFFFF"/>
              <w:spacing w:before="0" w:after="0"/>
              <w:ind w:firstLine="105" w:firstLineChars="50"/>
              <w:jc w:val="both"/>
              <w:rPr>
                <w:rFonts w:hint="default" w:ascii="Calibri" w:hAnsi="Calibri" w:eastAsia="Arial Unicode MS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FFFFFF"/>
                <w:lang w:val="pl-PL"/>
              </w:rPr>
            </w:pPr>
            <w:r>
              <w:rPr>
                <w:rFonts w:hint="default" w:ascii="Calibri" w:hAnsi="Calibri" w:eastAsia="Arial Unicode MS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FFFFFF"/>
                <w:lang w:val="pl-PL"/>
              </w:rPr>
              <w:t>Chojak, M. (2020). Nauczycielska diagnoza pedagogiczna w przedszkolu i w szkole. Wydawnictwo Difin.</w:t>
            </w:r>
          </w:p>
          <w:p w14:paraId="13EDCDB7">
            <w:pPr>
              <w:pStyle w:val="2"/>
              <w:shd w:val="clear" w:color="auto" w:fill="FFFFFF"/>
              <w:spacing w:before="0" w:after="0"/>
              <w:ind w:firstLine="105" w:firstLineChars="5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eastAsia="Arial Unicode MS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FFFFFF"/>
              </w:rPr>
              <w:t>Chrzanowska</w:t>
            </w:r>
            <w:r>
              <w:rPr>
                <w:rFonts w:hint="default" w:ascii="Calibri" w:hAnsi="Calibri" w:eastAsia="Arial Unicode MS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FFFFFF"/>
                <w:lang w:val="pl-PL"/>
              </w:rPr>
              <w:t>,</w:t>
            </w:r>
            <w:r>
              <w:rPr>
                <w:rFonts w:hint="default" w:ascii="Calibri" w:hAnsi="Calibri" w:eastAsia="Arial Unicode MS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FFFFFF"/>
              </w:rPr>
              <w:t xml:space="preserve"> I.</w:t>
            </w:r>
            <w:r>
              <w:rPr>
                <w:rFonts w:hint="default" w:ascii="Calibri" w:hAnsi="Calibri" w:eastAsia="Arial Unicode MS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FFFFFF"/>
                <w:lang w:val="pl-PL"/>
              </w:rPr>
              <w:t xml:space="preserve"> (2021).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/>
                <w:color w:val="auto"/>
                <w:sz w:val="21"/>
                <w:szCs w:val="21"/>
              </w:rPr>
              <w:t xml:space="preserve"> P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sz w:val="21"/>
                <w:szCs w:val="21"/>
              </w:rPr>
              <w:t>edagogika specjalna. Od tradycji do współczesności</w:t>
            </w: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pl-PL"/>
              </w:rPr>
              <w:t>. Oficyna Wydawnicza Impuls.</w:t>
            </w:r>
          </w:p>
          <w:p w14:paraId="2C523217">
            <w:pPr>
              <w:ind w:firstLine="105" w:firstLineChars="50"/>
              <w:rPr>
                <w:rFonts w:hint="default" w:ascii="Calibri" w:hAnsi="Calibri" w:cs="Calibri"/>
                <w:i w:val="0"/>
                <w:iCs w:val="0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pl-PL"/>
              </w:rPr>
              <w:t>Guzik - Tkacz, M. (2022). Badania diagnostyczne w pedagogice i psychopedagogice. Wydawnictwo Edukacyjne Akapit.</w:t>
            </w:r>
          </w:p>
          <w:p w14:paraId="42FB61FF">
            <w:pPr>
              <w:pStyle w:val="15"/>
              <w:numPr>
                <w:ilvl w:val="0"/>
                <w:numId w:val="0"/>
              </w:numPr>
              <w:ind w:leftChars="0" w:firstLine="105" w:firstLineChars="50"/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sz w:val="21"/>
                <w:szCs w:val="21"/>
              </w:rPr>
              <w:t>Knopik, T. (2022). Ocena funkcjonalna jako standard współpracy międzypodmiotowej na rzecz kompleksowego wspierania rozwoju uczniów ze zróżnicowanymi potrzebami edukacyjnymi. Problemy Opiekuńczo-Wychowawcze, 610, 27-41.</w:t>
            </w:r>
          </w:p>
          <w:p w14:paraId="51852B54">
            <w:pPr>
              <w:ind w:firstLine="105" w:firstLineChars="50"/>
              <w:jc w:val="both"/>
              <w:rPr>
                <w:rFonts w:hint="default" w:asciiTheme="minorHAnsi" w:hAnsiTheme="minorHAnsi" w:cstheme="minorHAnsi"/>
                <w:i w:val="0"/>
                <w:iCs w:val="0"/>
                <w:color w:val="auto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lang w:val="pl-PL"/>
              </w:rPr>
              <w:t>Słupek, K. (2023). Uczniowe ze specjalnymi potrzebami edukacyjnymi. Pomoc psychologiczna, dostosowanie wymagań. Wydawnictwo Difin.</w:t>
            </w:r>
          </w:p>
        </w:tc>
      </w:tr>
      <w:tr w14:paraId="3A1B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9D53E65">
            <w:pPr>
              <w:pStyle w:val="16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  <w:vAlign w:val="top"/>
          </w:tcPr>
          <w:p w14:paraId="4A7CD4F9">
            <w:pPr>
              <w:ind w:left="68"/>
              <w:jc w:val="both"/>
              <w:rPr>
                <w:rFonts w:hint="default" w:ascii="Calibri" w:hAnsi="Calibri" w:cs="Calibri"/>
                <w:color w:val="auto"/>
                <w:spacing w:val="4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Materiały i publikacje </w:t>
            </w:r>
            <w:r>
              <w:rPr>
                <w:rFonts w:hint="default" w:ascii="Calibri" w:hAnsi="Calibri" w:cs="Calibri"/>
                <w:color w:val="auto"/>
                <w:spacing w:val="4"/>
                <w:sz w:val="21"/>
                <w:szCs w:val="21"/>
              </w:rPr>
              <w:t xml:space="preserve">Europejskiej Agencji ds. Specjalnych Potrzeb i Edukacji Włączającej </w:t>
            </w:r>
            <w:r>
              <w:rPr>
                <w:rFonts w:hint="default" w:ascii="Calibri" w:hAnsi="Calibri" w:cs="Calibri"/>
                <w:color w:val="auto"/>
                <w:spacing w:val="4"/>
                <w:sz w:val="21"/>
                <w:szCs w:val="21"/>
              </w:rPr>
              <w:fldChar w:fldCharType="begin"/>
            </w:r>
            <w:r>
              <w:rPr>
                <w:rFonts w:hint="default" w:ascii="Calibri" w:hAnsi="Calibri" w:cs="Calibri"/>
                <w:color w:val="auto"/>
                <w:spacing w:val="4"/>
                <w:sz w:val="21"/>
                <w:szCs w:val="21"/>
              </w:rPr>
              <w:instrText xml:space="preserve"> HYPERLINK "https://www.european-agency.org/resources/publications" </w:instrText>
            </w:r>
            <w:r>
              <w:rPr>
                <w:rFonts w:hint="default" w:ascii="Calibri" w:hAnsi="Calibri" w:cs="Calibri"/>
                <w:color w:val="auto"/>
                <w:spacing w:val="4"/>
                <w:sz w:val="21"/>
                <w:szCs w:val="21"/>
              </w:rPr>
              <w:fldChar w:fldCharType="separate"/>
            </w:r>
            <w:r>
              <w:rPr>
                <w:rStyle w:val="11"/>
                <w:rFonts w:hint="default" w:ascii="Calibri" w:hAnsi="Calibri" w:cs="Calibri"/>
                <w:color w:val="auto"/>
                <w:spacing w:val="4"/>
                <w:sz w:val="21"/>
                <w:szCs w:val="21"/>
              </w:rPr>
              <w:t>https://www.european-agency.org/resources/publications</w:t>
            </w:r>
            <w:r>
              <w:rPr>
                <w:rFonts w:hint="default" w:ascii="Calibri" w:hAnsi="Calibri" w:cs="Calibri"/>
                <w:color w:val="auto"/>
                <w:spacing w:val="4"/>
                <w:sz w:val="21"/>
                <w:szCs w:val="21"/>
              </w:rPr>
              <w:fldChar w:fldCharType="end"/>
            </w:r>
          </w:p>
          <w:p w14:paraId="1BC97201">
            <w:pPr>
              <w:ind w:left="68"/>
              <w:jc w:val="both"/>
              <w:rPr>
                <w:rFonts w:hint="default" w:ascii="Calibri" w:hAnsi="Calibri"/>
                <w:color w:val="auto"/>
                <w:spacing w:val="4"/>
                <w:sz w:val="21"/>
                <w:szCs w:val="21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pacing w:val="4"/>
                <w:sz w:val="21"/>
                <w:szCs w:val="21"/>
                <w:lang w:val="pl-PL"/>
              </w:rPr>
              <w:t xml:space="preserve">Materiały znajdujące się na stronie Portalu wsparcia edukacyjno - specjalistycznego: </w:t>
            </w:r>
            <w:r>
              <w:rPr>
                <w:rFonts w:hint="default" w:ascii="Calibri" w:hAnsi="Calibri"/>
                <w:color w:val="auto"/>
                <w:spacing w:val="4"/>
                <w:sz w:val="21"/>
                <w:szCs w:val="21"/>
                <w:lang w:val="pl-PL"/>
              </w:rPr>
              <w:fldChar w:fldCharType="begin"/>
            </w:r>
            <w:r>
              <w:rPr>
                <w:rFonts w:hint="default" w:ascii="Calibri" w:hAnsi="Calibri"/>
                <w:color w:val="auto"/>
                <w:spacing w:val="4"/>
                <w:sz w:val="21"/>
                <w:szCs w:val="21"/>
                <w:lang w:val="pl-PL"/>
              </w:rPr>
              <w:instrText xml:space="preserve"> HYPERLINK "https://wsparcie.gov.pl/" </w:instrText>
            </w:r>
            <w:r>
              <w:rPr>
                <w:rFonts w:hint="default" w:ascii="Calibri" w:hAnsi="Calibri"/>
                <w:color w:val="auto"/>
                <w:spacing w:val="4"/>
                <w:sz w:val="21"/>
                <w:szCs w:val="21"/>
                <w:lang w:val="pl-PL"/>
              </w:rPr>
              <w:fldChar w:fldCharType="separate"/>
            </w:r>
            <w:r>
              <w:rPr>
                <w:rStyle w:val="11"/>
                <w:rFonts w:hint="default" w:ascii="Calibri" w:hAnsi="Calibri"/>
                <w:spacing w:val="4"/>
                <w:sz w:val="21"/>
                <w:szCs w:val="21"/>
                <w:lang w:val="pl-PL"/>
              </w:rPr>
              <w:t>https://wsparcie.gov.pl/</w:t>
            </w:r>
            <w:r>
              <w:rPr>
                <w:rFonts w:hint="default" w:ascii="Calibri" w:hAnsi="Calibri"/>
                <w:color w:val="auto"/>
                <w:spacing w:val="4"/>
                <w:sz w:val="21"/>
                <w:szCs w:val="21"/>
                <w:lang w:val="pl-PL"/>
              </w:rPr>
              <w:fldChar w:fldCharType="end"/>
            </w:r>
          </w:p>
          <w:p w14:paraId="349937CF">
            <w:pPr>
              <w:ind w:left="68"/>
              <w:jc w:val="both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>
              <w:rPr>
                <w:rFonts w:hint="default" w:ascii="Calibri" w:hAnsi="Calibri"/>
                <w:color w:val="auto"/>
                <w:spacing w:val="4"/>
                <w:sz w:val="21"/>
                <w:szCs w:val="21"/>
                <w:lang w:val="pl-PL"/>
              </w:rPr>
              <w:t>Aktualne przepisy prawne</w:t>
            </w:r>
          </w:p>
        </w:tc>
      </w:tr>
    </w:tbl>
    <w:p w14:paraId="72FEC4B3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5AF8315A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2BCB0CED">
      <w:pPr>
        <w:pStyle w:val="16"/>
        <w:numPr>
          <w:ilvl w:val="0"/>
          <w:numId w:val="0"/>
        </w:numPr>
        <w:snapToGrid w:val="0"/>
        <w:spacing w:line="276" w:lineRule="auto"/>
        <w:ind w:left="567" w:leftChars="0"/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wiczenia</w:t>
      </w:r>
    </w:p>
    <w:p w14:paraId="77EC2C10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C1.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 w:cs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apoznanie studentów ze specyfiką organizacji i realizacji procesu edukacyjno-terapeutycznego w edukacji włączającej.</w:t>
      </w:r>
    </w:p>
    <w:p w14:paraId="0C2B9709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C2.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Przygotowanie studentów do umiejętnej realizacji zadań wychowawczo-dydaktycznych w tym monitorowania ich realizacji w pracy z dziećmi/uczniami w grupach zróżnicowanych.</w:t>
      </w:r>
    </w:p>
    <w:p w14:paraId="63037582">
      <w:pPr>
        <w:pStyle w:val="16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C3.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Rozwijanie  u studentów  umiejętności planowania i prowadzenia ewaluacji pracy nauczycieli, szkolnych specjalistów i osób zarządzających placówką.</w:t>
      </w:r>
    </w:p>
    <w:p w14:paraId="2C59ACF4">
      <w:pPr>
        <w:pStyle w:val="16"/>
        <w:numPr>
          <w:ilvl w:val="0"/>
          <w:numId w:val="0"/>
        </w:numPr>
        <w:spacing w:line="276" w:lineRule="auto"/>
        <w:ind w:left="709" w:leftChars="0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1FDDFBC6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471DF29E">
      <w:pPr>
        <w:pStyle w:val="16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3D2A0C97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z kartą przedmiotu i wymaganiami w związku z zaliczeniem przedmiotu.</w:t>
      </w:r>
    </w:p>
    <w:p w14:paraId="5428E1BA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</w:rPr>
        <w:t xml:space="preserve">Organizacja i realizacja procesu edukacyjno-terapeutycznego w edukacji włączającej- wybrane koncepcje i modele rozwiązań. </w:t>
      </w:r>
    </w:p>
    <w:p w14:paraId="5701F66B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  <w:lang w:val="pl-PL"/>
        </w:rPr>
        <w:t>Działania wspierające w grupie zróżnicowanej - możliwości i ograniczenia.</w:t>
      </w:r>
    </w:p>
    <w:p w14:paraId="719CCF73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  <w:lang w:val="pl-PL"/>
        </w:rPr>
        <w:t>Metody oraz narzędzia diagnozy i monitoringu działań wspierających.</w:t>
      </w:r>
    </w:p>
    <w:p w14:paraId="53CDE66D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</w:rPr>
        <w:t xml:space="preserve">Specyfika uwarunkowania kształcenia dzieci i uczniów w grupach zróżnicowanych- możliwości i ograniczenia na poziomie klasy, szkoły, środowiska. </w:t>
      </w:r>
    </w:p>
    <w:p w14:paraId="4DCEC2D0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ostosow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anie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wymagań edukacyjnych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oraz ich realizacja w wychowaniu przedszkolnym.</w:t>
      </w:r>
    </w:p>
    <w:p w14:paraId="11893D64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ostosow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anie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wymagań edukacyjnych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oraz ich realizacja na I etapie edukacyjnym.</w:t>
      </w:r>
    </w:p>
    <w:p w14:paraId="0B8C33EA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ostosow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anie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wymagań edukacyjnych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oraz ich realizacja na II etapie edukacyjnym.</w:t>
      </w:r>
    </w:p>
    <w:p w14:paraId="7B6E2BE5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ostosow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anie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wymagań edukacyjnych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oraz ich realizacja na III etapie edukacyjnym.</w:t>
      </w:r>
    </w:p>
    <w:p w14:paraId="07494802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4"/>
          <w:szCs w:val="24"/>
        </w:rPr>
        <w:t xml:space="preserve">Analiza możliwości organizacyjnych i kadrowych  w zakresie adaptacji i realizacji zadań przedszkolnych/szkolnych. Stosowanie </w:t>
      </w:r>
      <w:r>
        <w:rPr>
          <w:rStyle w:val="26"/>
          <w:rFonts w:hint="default" w:ascii="Calibri" w:hAnsi="Calibri" w:cs="Calibri"/>
          <w:sz w:val="24"/>
          <w:szCs w:val="24"/>
        </w:rPr>
        <w:t>uniwersalnych zasad i norm etycznych w działalności zawodowej  z zachowaniem autonomii i szacunku  dla każdego człowieka</w:t>
      </w:r>
      <w:r>
        <w:rPr>
          <w:rStyle w:val="26"/>
          <w:rFonts w:hint="default" w:ascii="Calibri" w:hAnsi="Calibri" w:cs="Calibri"/>
          <w:sz w:val="24"/>
          <w:szCs w:val="24"/>
          <w:lang w:val="pl-PL"/>
        </w:rPr>
        <w:t xml:space="preserve">. 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Uwarunkowania osobowe wspierania i wspomagania rozwoju uczniów.</w:t>
      </w:r>
    </w:p>
    <w:p w14:paraId="5BEB90FB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Szkolni wykonawcy działań z zakresu pomocy psychologiczno-pedagogicznej –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kwalifikacje i kompetencje, doświadczane trudności oraz wsparcie. Monitoring dokumentacji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49C35603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Uwarunkowania specyfiki pracy z dzieckiem/ uczniem ze zróżnicowanymi potrzebami edukacyjnymi w aspekcie realizacji obowiązującej  podstawy programowej. Analiza bieżących  osiągnięć dziecka/ucznia z zaleceniami zawartymi w WOPFU, IPET oraz dokumentacji szkolnej/przedszkolne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j.</w:t>
      </w:r>
    </w:p>
    <w:p w14:paraId="169136DC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Środowiskowe uwarunkowania wspierania i wspomagania rozwoju uczniów.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Programy poprawiające integrację rówieśniczą uczniów ze specjalnymi potrzebami edukacyjnymi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207B85A5">
      <w:pPr>
        <w:pStyle w:val="16"/>
        <w:numPr>
          <w:ilvl w:val="0"/>
          <w:numId w:val="7"/>
        </w:numPr>
        <w:spacing w:line="276" w:lineRule="auto"/>
        <w:ind w:left="993" w:hanging="284"/>
        <w:jc w:val="both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Zasady udzielania wsparcia z uwzględnieniem problemów  edukacyjnych i opiekuńczych, w tym poradnictwa edukacyjno-zawodowego, opieki zdrowotnej, edukacji zdrowotnej i seksualne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j.</w:t>
      </w:r>
    </w:p>
    <w:p w14:paraId="38DBFD0C">
      <w:pPr>
        <w:pStyle w:val="16"/>
        <w:numPr>
          <w:ilvl w:val="0"/>
          <w:numId w:val="7"/>
        </w:numPr>
        <w:spacing w:line="276" w:lineRule="auto"/>
        <w:ind w:left="993" w:leftChars="0" w:hanging="284" w:firstLineChars="0"/>
        <w:jc w:val="both"/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Opracowanie projektu narzędzia do monitorowania realizacji wsparcia w grupie zróżnicowanej.</w:t>
      </w:r>
    </w:p>
    <w:p w14:paraId="1FBEC837">
      <w:pPr>
        <w:pStyle w:val="16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6D2F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25A1A655">
            <w:pPr>
              <w:pStyle w:val="16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2C5D8BD1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748F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4273968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W01</w:t>
            </w:r>
          </w:p>
          <w:p w14:paraId="35D5FB95">
            <w:pPr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D.2.W2.</w:t>
            </w:r>
          </w:p>
          <w:p w14:paraId="0924F901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6830" w:type="dxa"/>
            <w:vAlign w:val="top"/>
          </w:tcPr>
          <w:p w14:paraId="63C750E1">
            <w:pPr>
              <w:jc w:val="both"/>
              <w:rPr>
                <w:rStyle w:val="27"/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Zna i rozumie </w:t>
            </w:r>
            <w:r>
              <w:rPr>
                <w:rFonts w:hint="default" w:ascii="Calibri" w:hAnsi="Calibri" w:cs="Calibri"/>
                <w:sz w:val="21"/>
                <w:szCs w:val="21"/>
              </w:rPr>
              <w:t>założenia</w:t>
            </w:r>
            <w:r>
              <w:rPr>
                <w:rFonts w:hint="default" w:ascii="Calibri" w:hAnsi="Calibri" w:cs="Calibri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default" w:ascii="Calibri" w:hAnsi="Calibri" w:cs="Calibri"/>
                <w:sz w:val="21"/>
                <w:szCs w:val="21"/>
              </w:rPr>
              <w:t>i</w:t>
            </w:r>
            <w:r>
              <w:rPr>
                <w:rFonts w:hint="default" w:ascii="Calibri" w:hAnsi="Calibri" w:cs="Calibri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default" w:ascii="Calibri" w:hAnsi="Calibri" w:cs="Calibri"/>
                <w:sz w:val="21"/>
                <w:szCs w:val="21"/>
              </w:rPr>
              <w:t>zasady</w:t>
            </w:r>
            <w:r>
              <w:rPr>
                <w:rFonts w:hint="default" w:ascii="Calibri" w:hAnsi="Calibri" w:cs="Calibri"/>
                <w:spacing w:val="28"/>
                <w:sz w:val="21"/>
                <w:szCs w:val="21"/>
              </w:rPr>
              <w:t xml:space="preserve">  </w:t>
            </w:r>
            <w:r>
              <w:rPr>
                <w:rFonts w:hint="default" w:ascii="Calibri" w:hAnsi="Calibri" w:cs="Calibri"/>
                <w:sz w:val="21"/>
                <w:szCs w:val="21"/>
              </w:rPr>
              <w:t>konstruowania</w:t>
            </w:r>
            <w:r>
              <w:rPr>
                <w:rFonts w:hint="default" w:ascii="Calibri" w:hAnsi="Calibri" w:cs="Calibri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default" w:ascii="Calibri" w:hAnsi="Calibri" w:cs="Calibri"/>
                <w:sz w:val="21"/>
                <w:szCs w:val="21"/>
              </w:rPr>
              <w:t>indywidualnych</w:t>
            </w:r>
            <w:r>
              <w:rPr>
                <w:rFonts w:hint="default" w:ascii="Calibri" w:hAnsi="Calibri" w:cs="Calibri"/>
                <w:spacing w:val="28"/>
                <w:sz w:val="21"/>
                <w:szCs w:val="21"/>
              </w:rPr>
              <w:t xml:space="preserve">  </w:t>
            </w:r>
            <w:r>
              <w:rPr>
                <w:rFonts w:hint="default" w:ascii="Calibri" w:hAnsi="Calibri" w:cs="Calibri"/>
                <w:sz w:val="21"/>
                <w:szCs w:val="21"/>
              </w:rPr>
              <w:t>programów</w:t>
            </w:r>
            <w:r>
              <w:rPr>
                <w:rFonts w:hint="default" w:ascii="Calibri" w:hAnsi="Calibri" w:cs="Calibri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>edukacyjno</w:t>
            </w:r>
            <w:r>
              <w:rPr>
                <w:rFonts w:hint="default" w:ascii="Calibri" w:hAnsi="Calibri" w:cs="Calibri"/>
                <w:sz w:val="21"/>
                <w:szCs w:val="21"/>
              </w:rPr>
              <w:t>-terapeutycznych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oraz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zasady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metody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ich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>ewaluacji.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  <w:lang w:val="pl-PL"/>
              </w:rPr>
              <w:t xml:space="preserve"> Zna i rozumie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 xml:space="preserve"> etapy i uwarunkowania planowania, realizacji i monitorowania </w:t>
            </w:r>
            <w:r>
              <w:rPr>
                <w:rFonts w:hint="default" w:ascii="Calibri" w:hAnsi="Calibri" w:eastAsia="Times New Roman" w:cs="Calibri"/>
                <w:color w:val="auto"/>
                <w:sz w:val="21"/>
                <w:szCs w:val="21"/>
              </w:rPr>
              <w:t>działań wspierających w grupach zróżnicowanych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 xml:space="preserve"> wykorzystując podstawy wiedzy o wychowaniu i aksjologii pedagogicznej. Zna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i rozumie 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specyfikę głównych środowisk edukacyjnych, wychowawczych i opiekuńczych oraz procesów w nich zachodzących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. </w:t>
            </w:r>
          </w:p>
        </w:tc>
        <w:tc>
          <w:tcPr>
            <w:tcW w:w="1773" w:type="dxa"/>
            <w:vAlign w:val="top"/>
          </w:tcPr>
          <w:p w14:paraId="26787C66">
            <w:pPr>
              <w:jc w:val="center"/>
              <w:textAlignment w:val="baseline"/>
              <w:rPr>
                <w:rFonts w:hint="default" w:ascii="Calibri" w:hAnsi="Calibri" w:eastAsia="Times New Roman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21"/>
                <w:szCs w:val="21"/>
              </w:rPr>
              <w:t>PSPEC_W01</w:t>
            </w:r>
          </w:p>
          <w:p w14:paraId="294FE612">
            <w:pPr>
              <w:jc w:val="center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A7A568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3FF3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313AF921">
            <w:pPr>
              <w:jc w:val="center"/>
              <w:textAlignment w:val="baseline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U01</w:t>
            </w:r>
          </w:p>
          <w:p w14:paraId="52E00889">
            <w:pPr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D.2.U4.</w:t>
            </w:r>
          </w:p>
          <w:p w14:paraId="2EC65726">
            <w:pPr>
              <w:jc w:val="center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1" w:type="dxa"/>
            <w:vAlign w:val="top"/>
          </w:tcPr>
          <w:p w14:paraId="152472A4">
            <w:pPr>
              <w:pStyle w:val="15"/>
              <w:numPr>
                <w:ilvl w:val="0"/>
                <w:numId w:val="0"/>
              </w:numPr>
              <w:tabs>
                <w:tab w:val="left" w:pos="835"/>
              </w:tabs>
              <w:spacing w:before="119"/>
              <w:jc w:val="both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P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otrafi zap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lan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ować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 xml:space="preserve"> proces monitorowania i ewaluacji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 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indywidualnych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programów</w:t>
            </w:r>
            <w:r>
              <w:rPr>
                <w:rFonts w:hint="default" w:ascii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>edukacyjnych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  <w:lang w:val="pl-PL"/>
              </w:rPr>
              <w:t>,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 xml:space="preserve"> jako podstawy do wdrażania efektywnych programów zwiększających integrację rówieśniczą uczniów ze specjalnymi potrzebami edukacyjnymi</w:t>
            </w:r>
          </w:p>
        </w:tc>
        <w:tc>
          <w:tcPr>
            <w:tcW w:w="1773" w:type="dxa"/>
            <w:vAlign w:val="top"/>
          </w:tcPr>
          <w:p w14:paraId="7C5998E4">
            <w:pPr>
              <w:jc w:val="center"/>
              <w:textAlignment w:val="baseline"/>
              <w:rPr>
                <w:rFonts w:hint="default" w:ascii="Calibri" w:hAnsi="Calibri" w:eastAsia="Times New Roman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21"/>
                <w:szCs w:val="21"/>
              </w:rPr>
              <w:t>PSPEC_U08</w:t>
            </w:r>
          </w:p>
          <w:p w14:paraId="033E0936">
            <w:pPr>
              <w:jc w:val="center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A8919F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6CFA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34A40A14">
            <w:pPr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K01</w:t>
            </w:r>
          </w:p>
          <w:p w14:paraId="62923F9E">
            <w:pPr>
              <w:jc w:val="center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D.2.K2.</w:t>
            </w:r>
          </w:p>
        </w:tc>
        <w:tc>
          <w:tcPr>
            <w:tcW w:w="6830" w:type="dxa"/>
            <w:vAlign w:val="top"/>
          </w:tcPr>
          <w:p w14:paraId="23FCB7E3">
            <w:pPr>
              <w:pStyle w:val="15"/>
              <w:numPr>
                <w:ilvl w:val="0"/>
                <w:numId w:val="0"/>
              </w:numPr>
              <w:tabs>
                <w:tab w:val="left" w:pos="838"/>
              </w:tabs>
              <w:spacing w:before="160"/>
              <w:jc w:val="both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 xml:space="preserve">Jest gotów do </w:t>
            </w:r>
            <w:r>
              <w:rPr>
                <w:rFonts w:hint="default" w:ascii="Calibri" w:hAnsi="Calibri" w:cs="Calibri"/>
                <w:spacing w:val="58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postępowania</w:t>
            </w:r>
            <w:r>
              <w:rPr>
                <w:rFonts w:hint="default"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zgodnego</w:t>
            </w:r>
            <w:r>
              <w:rPr>
                <w:rFonts w:hint="default" w:ascii="Calibri" w:hAnsi="Calibri" w:cs="Calibri"/>
                <w:spacing w:val="26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z</w:t>
            </w:r>
            <w:r>
              <w:rPr>
                <w:rFonts w:hint="default" w:ascii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zasadami</w:t>
            </w:r>
            <w:r>
              <w:rPr>
                <w:rFonts w:hint="default"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etyki</w:t>
            </w:r>
            <w:r>
              <w:rPr>
                <w:rFonts w:hint="default"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zawodowej</w:t>
            </w:r>
            <w:r>
              <w:rPr>
                <w:rFonts w:hint="default" w:ascii="Calibri" w:hAnsi="Calibri" w:cs="Calibri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w</w:t>
            </w:r>
            <w:r>
              <w:rPr>
                <w:rFonts w:hint="default" w:ascii="Calibri" w:hAnsi="Calibri" w:cs="Calibri"/>
                <w:spacing w:val="27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procesie</w:t>
            </w:r>
            <w:r>
              <w:rPr>
                <w:rFonts w:hint="default" w:ascii="Calibri" w:hAnsi="Calibri" w:cs="Calibri"/>
                <w:spacing w:val="2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>rozpoznawania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  <w:lang w:val="pl-PL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specjalnych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potrzeb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edukacyjnych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i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określania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</w:rPr>
              <w:t>wskazań</w:t>
            </w:r>
            <w:r>
              <w:rPr>
                <w:rFonts w:hint="default" w:ascii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</w:rPr>
              <w:t>terapeutycznych</w:t>
            </w:r>
            <w:r>
              <w:rPr>
                <w:rFonts w:hint="default" w:ascii="Calibri" w:hAnsi="Calibri" w:cs="Calibri"/>
                <w:spacing w:val="-2"/>
                <w:sz w:val="21"/>
                <w:szCs w:val="21"/>
                <w:lang w:val="pl-PL"/>
              </w:rPr>
              <w:t>, a także p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 xml:space="preserve">osiada podstawowe kompetencje społeczne przydatne w stosowaniu 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</w:rPr>
              <w:t>uniwersalnych zasad i norm etycznych w działalności zawodowej  z zachowaniem autonomii i szacunku  dla każdego człowieka</w:t>
            </w:r>
            <w:r>
              <w:rPr>
                <w:rStyle w:val="26"/>
                <w:rFonts w:hint="default" w:ascii="Calibri" w:hAnsi="Calibri" w:cs="Calibri"/>
                <w:color w:val="auto"/>
                <w:sz w:val="21"/>
                <w:szCs w:val="21"/>
                <w:lang w:val="pl-PL"/>
              </w:rPr>
              <w:t>.</w:t>
            </w:r>
          </w:p>
        </w:tc>
        <w:tc>
          <w:tcPr>
            <w:tcW w:w="1773" w:type="dxa"/>
            <w:vAlign w:val="top"/>
          </w:tcPr>
          <w:p w14:paraId="58C12184">
            <w:pPr>
              <w:jc w:val="center"/>
              <w:rPr>
                <w:rFonts w:hint="default" w:ascii="Calibri" w:hAnsi="Calibri" w:cs="Calibr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Times New Roman" w:cs="Calibri"/>
                <w:color w:val="auto"/>
                <w:sz w:val="21"/>
                <w:szCs w:val="21"/>
              </w:rPr>
              <w:t>PSPEC_K01</w:t>
            </w:r>
          </w:p>
        </w:tc>
      </w:tr>
    </w:tbl>
    <w:p w14:paraId="2D2B4EBE">
      <w:pPr>
        <w:pStyle w:val="16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21C414C0">
      <w:pPr>
        <w:pStyle w:val="16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3"/>
        <w:tblW w:w="6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8"/>
        <w:gridCol w:w="1228"/>
        <w:gridCol w:w="1228"/>
        <w:gridCol w:w="1228"/>
      </w:tblGrid>
      <w:tr w14:paraId="6D40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>
            <w:pPr>
              <w:pStyle w:val="16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8" w:type="dxa"/>
            <w:vAlign w:val="center"/>
          </w:tcPr>
          <w:p w14:paraId="2090463B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Projekt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77276A7B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0F20BFCC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 własna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1FDCDC6B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15D670F9">
            <w:pPr>
              <w:pStyle w:val="16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</w:t>
            </w:r>
          </w:p>
        </w:tc>
      </w:tr>
    </w:tbl>
    <w:p w14:paraId="79B396A4">
      <w:pPr>
        <w:pStyle w:val="16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3"/>
        <w:tblW w:w="6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14:paraId="418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70E4D4B0">
            <w:pPr>
              <w:pStyle w:val="16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3418BEEC">
            <w:pPr>
              <w:pStyle w:val="16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9" w:type="dxa"/>
          </w:tcPr>
          <w:p w14:paraId="31CCEDAF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2F3903E1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139B3A71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F7C6A0C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323B1438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D30F911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09" w:type="dxa"/>
          </w:tcPr>
          <w:p w14:paraId="12A090D4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153B814C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6B70478B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07EF904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7DC425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ED82D81">
            <w:pPr>
              <w:pStyle w:val="16"/>
              <w:spacing w:line="276" w:lineRule="auto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43F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77F5F62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000AE137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1B7C1230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1568E35D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347F4E7A">
            <w:pPr>
              <w:jc w:val="center"/>
              <w:rPr>
                <w:rFonts w:hint="default" w:ascii="Calibri" w:hAnsi="Calibri" w:cs="Calibri"/>
                <w:b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6364A56B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136A3344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805884E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28B10044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6DFEE569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0D7B369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86CB8F1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31E4D0F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</w:tr>
      <w:tr w14:paraId="771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9F46BF8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674B5A89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209CC8E1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7AAEB8C7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593C312E">
            <w:pPr>
              <w:jc w:val="center"/>
              <w:rPr>
                <w:rFonts w:hint="default" w:ascii="Calibri" w:hAnsi="Calibri" w:cs="Calibri"/>
                <w:b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2A05C114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2213271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0A6A3FB5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53732C34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092CDEB7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0388F883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F75D932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7E6F6344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</w:tr>
      <w:tr w14:paraId="347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F37F01B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356F627F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4AD80D3F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65A01D8D">
            <w:pPr>
              <w:jc w:val="center"/>
              <w:rPr>
                <w:rFonts w:hint="default" w:ascii="Calibri" w:hAnsi="Calibri" w:cs="Calibri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0641A19">
            <w:pPr>
              <w:jc w:val="center"/>
              <w:rPr>
                <w:rFonts w:hint="default" w:ascii="Calibri" w:hAnsi="Calibri" w:cs="Calibri"/>
                <w:b/>
                <w:bCs w:val="0"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center"/>
          </w:tcPr>
          <w:p w14:paraId="7F2AA74F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50B834E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9ABCB40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606B8710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center"/>
          </w:tcPr>
          <w:p w14:paraId="74064C4E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40F6373E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2E10FF87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center"/>
          </w:tcPr>
          <w:p w14:paraId="632B6F86">
            <w:pPr>
              <w:jc w:val="center"/>
              <w:rPr>
                <w:rFonts w:hint="default" w:ascii="Calibri" w:hAnsi="Calibri" w:cs="Calibri"/>
                <w:b w:val="0"/>
                <w:bCs/>
                <w:i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/>
                <w:color w:val="auto"/>
                <w:sz w:val="20"/>
                <w:szCs w:val="20"/>
              </w:rPr>
              <w:t>+</w:t>
            </w:r>
          </w:p>
        </w:tc>
      </w:tr>
    </w:tbl>
    <w:p w14:paraId="4D8F0AF1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7CEFDAAA">
      <w:pPr>
        <w:pStyle w:val="16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1751A559">
      <w:pPr>
        <w:pStyle w:val="16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7E4162B3">
      <w:pPr>
        <w:pStyle w:val="16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29EA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5FD6310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5C5AAF8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3279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DEB9AD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  <w:vAlign w:val="top"/>
          </w:tcPr>
          <w:p w14:paraId="5E511EC0">
            <w:pPr>
              <w:ind w:right="113" w:rightChars="0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50%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oraz opracowany projekt</w:t>
            </w:r>
          </w:p>
        </w:tc>
      </w:tr>
      <w:tr w14:paraId="0C0E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7B4331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  <w:vAlign w:val="top"/>
          </w:tcPr>
          <w:p w14:paraId="46A771C6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61%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oraz opracowany projekt</w:t>
            </w:r>
          </w:p>
        </w:tc>
      </w:tr>
      <w:tr w14:paraId="4F21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9F9A63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  <w:vAlign w:val="top"/>
          </w:tcPr>
          <w:p w14:paraId="7D41C9D7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71%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oraz opracowany projekt</w:t>
            </w:r>
          </w:p>
        </w:tc>
      </w:tr>
      <w:tr w14:paraId="5CF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407145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  <w:vAlign w:val="top"/>
          </w:tcPr>
          <w:p w14:paraId="569F98CA">
            <w:pP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81%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oraz opracowany projekt</w:t>
            </w:r>
          </w:p>
        </w:tc>
      </w:tr>
      <w:tr w14:paraId="67A5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961986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  <w:vAlign w:val="top"/>
          </w:tcPr>
          <w:p w14:paraId="76D195DA">
            <w:pPr>
              <w:rPr>
                <w:rFonts w:hint="default"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od 91% punktów uzyskanych za zadania opracowane wspólnie z grupą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oraz opracowany projekt</w:t>
            </w:r>
          </w:p>
        </w:tc>
      </w:tr>
    </w:tbl>
    <w:p w14:paraId="474C4D4F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6A51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B5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12924D36">
            <w:pPr>
              <w:pStyle w:val="16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>
            <w:pPr>
              <w:pStyle w:val="16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140D8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43210C48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18BB7DA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F2BF5FB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20</w:t>
            </w:r>
          </w:p>
        </w:tc>
      </w:tr>
      <w:tr w14:paraId="07B9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6130137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79EBF94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3BE17C8C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20</w:t>
            </w:r>
          </w:p>
        </w:tc>
      </w:tr>
      <w:tr w14:paraId="04585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AB50C8B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ADFB1D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7AC4BBA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30</w:t>
            </w:r>
          </w:p>
        </w:tc>
      </w:tr>
      <w:tr w14:paraId="399D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0D4AD548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04C3B09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2173" w:type="dxa"/>
            <w:vAlign w:val="center"/>
          </w:tcPr>
          <w:p w14:paraId="4C838E94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20</w:t>
            </w:r>
          </w:p>
        </w:tc>
      </w:tr>
      <w:tr w14:paraId="29944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3024541B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73283B6C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2173" w:type="dxa"/>
            <w:vAlign w:val="center"/>
          </w:tcPr>
          <w:p w14:paraId="3EBD68C2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auto"/>
                <w:sz w:val="20"/>
                <w:szCs w:val="20"/>
              </w:rPr>
              <w:t>10</w:t>
            </w:r>
          </w:p>
        </w:tc>
      </w:tr>
      <w:tr w14:paraId="182A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035BDEC9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3118EBC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25DD2C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50</w:t>
            </w:r>
          </w:p>
        </w:tc>
      </w:tr>
      <w:tr w14:paraId="7422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66CFA8E7">
            <w:pPr>
              <w:pStyle w:val="16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2714F83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2FC765D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 w:val="0"/>
                <w:iCs w:val="0"/>
                <w:color w:val="auto"/>
                <w:sz w:val="20"/>
                <w:szCs w:val="20"/>
              </w:rPr>
              <w:t>2</w:t>
            </w:r>
          </w:p>
        </w:tc>
      </w:tr>
    </w:tbl>
    <w:p w14:paraId="0B31DF0A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*niepotrzebne usunąć</w:t>
      </w:r>
    </w:p>
    <w:p w14:paraId="3AE6B8C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563C694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D9E217B"/>
    <w:multiLevelType w:val="multilevel"/>
    <w:tmpl w:val="6D9E217B"/>
    <w:lvl w:ilvl="0" w:tentative="0">
      <w:start w:val="1"/>
      <w:numFmt w:val="decimal"/>
      <w:lvlText w:val="%1."/>
      <w:lvlJc w:val="left"/>
      <w:pPr>
        <w:ind w:left="1996" w:hanging="360"/>
      </w:p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4156" w:hanging="360"/>
      </w:pPr>
    </w:lvl>
    <w:lvl w:ilvl="4" w:tentative="0">
      <w:start w:val="1"/>
      <w:numFmt w:val="lowerLetter"/>
      <w:lvlText w:val="%5."/>
      <w:lvlJc w:val="left"/>
      <w:pPr>
        <w:ind w:left="4876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4102860"/>
    <w:rsid w:val="139813C1"/>
    <w:rsid w:val="2D0B0FF8"/>
    <w:rsid w:val="2DC06D03"/>
    <w:rsid w:val="77361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1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0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0"/>
    <w:rPr>
      <w:color w:val="0066CC"/>
      <w:u w:val="single"/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13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66" w:hanging="349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8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9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20">
    <w:name w:val="Temat komentarza Znak"/>
    <w:basedOn w:val="19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2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3">
    <w:name w:val="Styl1"/>
    <w:basedOn w:val="4"/>
    <w:link w:val="24"/>
    <w:qFormat/>
    <w:uiPriority w:val="0"/>
    <w:rPr>
      <w:rFonts w:ascii="Calibri" w:hAnsi="Calibri"/>
      <w:i/>
      <w:color w:val="auto"/>
    </w:rPr>
  </w:style>
  <w:style w:type="character" w:customStyle="1" w:styleId="24">
    <w:name w:val="Styl1 Znak"/>
    <w:basedOn w:val="22"/>
    <w:link w:val="23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paragraph" w:customStyle="1" w:styleId="25">
    <w:name w:val="Body text (3)7"/>
    <w:basedOn w:val="1"/>
    <w:qFormat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character" w:customStyle="1" w:styleId="26">
    <w:name w:val="normaltextrun"/>
    <w:basedOn w:val="5"/>
    <w:qFormat/>
    <w:uiPriority w:val="0"/>
  </w:style>
  <w:style w:type="character" w:customStyle="1" w:styleId="27">
    <w:name w:val="eo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769C-B2DA-4B67-A6BE-256564FFD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938</Words>
  <Characters>6848</Characters>
  <Lines>25</Lines>
  <Paragraphs>7</Paragraphs>
  <TotalTime>5</TotalTime>
  <ScaleCrop>false</ScaleCrop>
  <LinksUpToDate>false</LinksUpToDate>
  <CharactersWithSpaces>7670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2026-02-16T21:51:00Z</dcterms:created>
  <dc:creator>Rektor UJK</dc:creator>
  <cp:keywords>Zarządzenie nr 189-2025 Budowa programu studiów Załącznik nr 4</cp:keywords>
  <cp:lastModifiedBy>Inga</cp:lastModifiedBy>
  <cp:lastPrinted>2025-10-28T07:51:00Z</cp:lastPrinted>
  <dcterms:modified xsi:type="dcterms:W3CDTF">2026-06-09T20:00:50Z</dcterms:modified>
  <dc:title>Zarządzenie nr 189-2025 Budowa programu studiów Załącznik nr 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1045-12.1.0.26880</vt:lpwstr>
  </property>
  <property fmtid="{D5CDD505-2E9C-101B-9397-08002B2CF9AE}" pid="6" name="ICV">
    <vt:lpwstr>40F66BEA92274F83BF8D7ACB992BFAFF_13</vt:lpwstr>
  </property>
  <property fmtid="{D5CDD505-2E9C-101B-9397-08002B2CF9AE}" pid="7" name="KSOTemplateDocerSaveRecord">
    <vt:lpwstr>eyJoZGlkIjoiYTJhYTgxNjg4ZjI0NTI5NTgwNTU3Njc0ODZiNGJiMGIiLCJ1c2VySWQiOiIzMDQxMzM4MDAyNjk5In0=</vt:lpwstr>
  </property>
</Properties>
</file>