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0EE6">
      <w:pPr>
        <w:pStyle w:val="1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25D8345F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5DD76F">
      <w:pPr>
        <w:pStyle w:val="2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 w14:paraId="151EB3A4">
      <w:pPr>
        <w:pStyle w:val="7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Kod przedmiotu (zajęć): </w:t>
      </w:r>
      <w:r>
        <w:rPr>
          <w:rFonts w:hint="default" w:asciiTheme="minorHAnsi" w:hAnsiTheme="minorHAnsi" w:cstheme="minorHAnsi"/>
          <w:sz w:val="24"/>
          <w:szCs w:val="24"/>
        </w:rPr>
        <w:t>0113.1.PSP.D3.MKUZKGZ</w:t>
      </w:r>
    </w:p>
    <w:p w14:paraId="55DE46D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 języku polskim: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hint="default" w:asciiTheme="minorHAnsi" w:hAnsiTheme="minorHAnsi" w:cstheme="minorHAnsi"/>
          <w:b/>
          <w:bCs/>
          <w:sz w:val="24"/>
          <w:szCs w:val="24"/>
        </w:rPr>
        <w:t xml:space="preserve">Metodyka kształcenia uczniów z zaburzeniami </w:t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/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/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/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/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/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/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 xml:space="preserve">           </w:t>
      </w:r>
      <w:r>
        <w:rPr>
          <w:rFonts w:hint="default" w:asciiTheme="minorHAnsi" w:hAnsiTheme="minorHAnsi" w:cstheme="minorHAnsi"/>
          <w:b/>
          <w:bCs/>
          <w:sz w:val="24"/>
          <w:szCs w:val="24"/>
        </w:rPr>
        <w:t>komunikacji w grupach zróżnicowanych</w:t>
      </w:r>
    </w:p>
    <w:p w14:paraId="4B514D2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hint="default" w:asciiTheme="minorHAnsi" w:hAnsiTheme="minorHAnsi" w:cstheme="minorHAnsi"/>
          <w:b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Nazwa przedmiotu (zajęć) w języku angielskim: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 w:cstheme="minorHAnsi"/>
          <w:b/>
          <w:bCs/>
          <w:sz w:val="24"/>
          <w:szCs w:val="24"/>
          <w:lang w:val="en-US"/>
        </w:rPr>
        <w:t xml:space="preserve">Methodology of Students’ Education with </w:t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/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/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/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/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/>
      </w:r>
      <w:r>
        <w:rPr>
          <w:rFonts w:hint="default" w:asciiTheme="minorHAnsi" w:hAnsiTheme="minorHAnsi" w:cstheme="minorHAnsi"/>
          <w:b/>
          <w:bCs/>
          <w:sz w:val="24"/>
          <w:szCs w:val="24"/>
          <w:lang w:val="pl-PL"/>
        </w:rPr>
        <w:tab/>
        <w:t xml:space="preserve">                         </w:t>
      </w:r>
      <w:r>
        <w:rPr>
          <w:rFonts w:hint="default" w:asciiTheme="minorHAnsi" w:hAnsiTheme="minorHAnsi" w:cstheme="minorHAnsi"/>
          <w:b/>
          <w:bCs/>
          <w:sz w:val="24"/>
          <w:szCs w:val="24"/>
          <w:lang w:val="en-US"/>
        </w:rPr>
        <w:t>Communication Disorders in Diverse Groups</w:t>
      </w:r>
    </w:p>
    <w:p w14:paraId="090A765E">
      <w:pPr>
        <w:pStyle w:val="3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2"/>
        <w:gridCol w:w="5005"/>
      </w:tblGrid>
      <w:tr w14:paraId="12A76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716B9E68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</w:tcPr>
          <w:p w14:paraId="48A8E6B4">
            <w:pPr>
              <w:pStyle w:val="17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14:paraId="3609C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3B74D8A8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</w:tcPr>
          <w:p w14:paraId="0CA877D5">
            <w:pPr>
              <w:pStyle w:val="17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14:paraId="05408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3150EB3E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</w:tcPr>
          <w:p w14:paraId="085D7AE6">
            <w:pPr>
              <w:pStyle w:val="17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14:paraId="79A7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178A9C40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</w:tcPr>
          <w:p w14:paraId="3B990D81">
            <w:pPr>
              <w:pStyle w:val="17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14:paraId="56BD3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397955AD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</w:tcPr>
          <w:p w14:paraId="7ED89AF2">
            <w:pPr>
              <w:pStyle w:val="17"/>
              <w:spacing w:line="276" w:lineRule="auto"/>
              <w:ind w:left="208" w:right="183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Dr Agata </w:t>
            </w:r>
            <w:r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  <w:t>Borowska</w:t>
            </w:r>
          </w:p>
        </w:tc>
      </w:tr>
      <w:tr w14:paraId="41DE0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334AD4A6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</w:tcPr>
          <w:p w14:paraId="58CCBF91">
            <w:pPr>
              <w:pStyle w:val="17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agata.</w:t>
            </w:r>
            <w:r>
              <w:rPr>
                <w:rFonts w:hint="default" w:asciiTheme="minorHAnsi" w:hAnsiTheme="minorHAnsi" w:cstheme="minorHAnsi"/>
                <w:color w:val="auto"/>
                <w:sz w:val="21"/>
                <w:szCs w:val="21"/>
                <w:lang w:val="pl-PL"/>
              </w:rPr>
              <w:t>borowska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@ujk.edu.pl</w:t>
            </w:r>
          </w:p>
        </w:tc>
      </w:tr>
    </w:tbl>
    <w:p w14:paraId="7CCC04D8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7"/>
        <w:gridCol w:w="6280"/>
      </w:tblGrid>
      <w:tr w14:paraId="704B0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7" w:type="dxa"/>
          </w:tcPr>
          <w:p w14:paraId="39E2CE2D">
            <w:pPr>
              <w:pStyle w:val="17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80" w:type="dxa"/>
          </w:tcPr>
          <w:p w14:paraId="4D0C69FD">
            <w:pPr>
              <w:pStyle w:val="17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14:paraId="72A35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7" w:type="dxa"/>
          </w:tcPr>
          <w:p w14:paraId="085956B0">
            <w:pPr>
              <w:pStyle w:val="17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80" w:type="dxa"/>
          </w:tcPr>
          <w:p w14:paraId="2A4A3DC0">
            <w:pPr>
              <w:pStyle w:val="17"/>
              <w:ind w:left="208" w:right="183"/>
              <w:rPr>
                <w:rFonts w:hint="default" w:asciiTheme="minorHAnsi" w:hAnsiTheme="minorHAnsi" w:cstheme="minorHAnsi"/>
                <w:sz w:val="21"/>
                <w:szCs w:val="21"/>
              </w:rPr>
            </w:pPr>
            <w:r>
              <w:rPr>
                <w:rFonts w:hint="default" w:asciiTheme="minorHAnsi" w:hAnsiTheme="minorHAnsi" w:cstheme="minorHAnsi"/>
                <w:sz w:val="21"/>
                <w:szCs w:val="21"/>
              </w:rPr>
              <w:t>Pedagogika specjalna</w:t>
            </w:r>
          </w:p>
          <w:p w14:paraId="579F5872">
            <w:pPr>
              <w:pStyle w:val="17"/>
              <w:ind w:left="208" w:right="183"/>
              <w:rPr>
                <w:rFonts w:hint="default" w:asciiTheme="minorHAnsi" w:hAnsiTheme="minorHAnsi" w:cstheme="minorHAnsi"/>
                <w:sz w:val="21"/>
                <w:szCs w:val="21"/>
              </w:rPr>
            </w:pPr>
            <w:r>
              <w:rPr>
                <w:rFonts w:hint="default" w:asciiTheme="minorHAnsi" w:hAnsiTheme="minorHAnsi" w:cstheme="minorHAnsi"/>
                <w:sz w:val="21"/>
                <w:szCs w:val="21"/>
              </w:rPr>
              <w:t>Subdyscypliny pedagogiki specjalnej</w:t>
            </w:r>
          </w:p>
          <w:p w14:paraId="017EB33C">
            <w:pPr>
              <w:pStyle w:val="17"/>
              <w:ind w:left="208" w:right="183"/>
              <w:rPr>
                <w:rFonts w:hint="default" w:asciiTheme="minorHAnsi" w:hAnsiTheme="minorHAnsi" w:cstheme="minorHAnsi"/>
                <w:sz w:val="21"/>
                <w:szCs w:val="21"/>
              </w:rPr>
            </w:pPr>
            <w:r>
              <w:rPr>
                <w:rFonts w:hint="default" w:asciiTheme="minorHAnsi" w:hAnsiTheme="minorHAnsi" w:cstheme="minorHAnsi"/>
                <w:sz w:val="21"/>
                <w:szCs w:val="21"/>
              </w:rPr>
              <w:t xml:space="preserve">Podstawy edukacji integracyjnej i włączającej </w:t>
            </w:r>
          </w:p>
          <w:p w14:paraId="665F5741">
            <w:pPr>
              <w:pStyle w:val="17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sz w:val="21"/>
                <w:szCs w:val="21"/>
              </w:rPr>
              <w:t xml:space="preserve">Komunikacja w edukacji integracyjnej i włączającej </w:t>
            </w:r>
          </w:p>
        </w:tc>
      </w:tr>
    </w:tbl>
    <w:p w14:paraId="7F50FE92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  <w:gridCol w:w="6279"/>
      </w:tblGrid>
      <w:tr w14:paraId="41956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143128F">
            <w:pPr>
              <w:pStyle w:val="17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zajęć</w:t>
            </w:r>
          </w:p>
        </w:tc>
        <w:tc>
          <w:tcPr>
            <w:tcW w:w="6279" w:type="dxa"/>
          </w:tcPr>
          <w:p w14:paraId="533F61BD">
            <w:pPr>
              <w:pStyle w:val="17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ćwiczenia </w:t>
            </w:r>
          </w:p>
        </w:tc>
      </w:tr>
      <w:tr w14:paraId="28BCD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1BDD8699">
            <w:pPr>
              <w:pStyle w:val="17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</w:tcPr>
          <w:p w14:paraId="1C815594">
            <w:pPr>
              <w:pStyle w:val="17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pomieszczenia dydaktyczne UJK</w:t>
            </w:r>
          </w:p>
        </w:tc>
      </w:tr>
      <w:tr w14:paraId="7EBE1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FD8AF23">
            <w:pPr>
              <w:pStyle w:val="17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</w:tcPr>
          <w:p w14:paraId="66C3C088">
            <w:pPr>
              <w:pStyle w:val="17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14:paraId="0C115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5D16C69F">
            <w:pPr>
              <w:pStyle w:val="17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</w:tcPr>
          <w:p w14:paraId="4DCEA80A">
            <w:pPr>
              <w:pStyle w:val="17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prezentacja multimedialna, dyskusja,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metoda sytuacyjna, symulacyjna i inscenizacji,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film</w:t>
            </w:r>
          </w:p>
        </w:tc>
      </w:tr>
      <w:tr w14:paraId="4327F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117C14A4">
            <w:pPr>
              <w:pStyle w:val="17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</w:tcPr>
          <w:p w14:paraId="356854D9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Białecka, M.  (2025). Percepcja i rozumienie mowy u osób z głębszą niepełnosprawnościa intelektualną. Impuls.</w:t>
            </w:r>
          </w:p>
          <w:p w14:paraId="6B86AD2E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Boksa, E. (2017). Dysfagia z perspektywy zaburzeń komunikacji językowej u dzieci i młodzieży z niepełnosprawnościami sprzężonymi. Libron.</w:t>
            </w:r>
          </w:p>
          <w:p w14:paraId="79000A2C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Domagała, A., Mirecka, U. (red.). Zaburzenia komunikacji pisemnej. Wydawnictwo Harmonia.</w:t>
            </w:r>
          </w:p>
          <w:p w14:paraId="661D0D15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Kamyk - Wawryszuk, A. (red.). Zaburzenia mowy i komunikacji dziecka z chorobą rzadką. Wybrane zagadnienia diagnozy i terapii. Wydawnictwo Uniwersytetu Kazimierza Wielkiego.</w:t>
            </w:r>
          </w:p>
          <w:p w14:paraId="2576EAD4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Panasiuk, J. (2022). Język a komunikacja w afazji. Wydanie 2. Wydawnictwo UMCS.</w:t>
            </w:r>
          </w:p>
          <w:p w14:paraId="7516E319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Tarkowski, Z. (red). (2017). Patologia mowy. Wydawnictwo Harmonia.</w:t>
            </w:r>
          </w:p>
          <w:p w14:paraId="60309744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Wileczek, A. (2020). Język i komunikacja.Wprowadzenie dla pedagogów. Wydawnictwo Naukowe PWN.</w:t>
            </w:r>
          </w:p>
          <w:p w14:paraId="708F1187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Węsierska, K., Witkowski, M. (red.). (2023). Zaburzenia płynności mowy. Tom 2. Wydawnictwo Uniwersytetu Śląskiego.</w:t>
            </w:r>
          </w:p>
          <w:p w14:paraId="00486711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</w:p>
        </w:tc>
      </w:tr>
      <w:tr w14:paraId="21119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EE27D0B">
            <w:pPr>
              <w:pStyle w:val="17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</w:tcPr>
          <w:p w14:paraId="51682D1E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Błeszyński, J. J. (red.). (2018). Komunikacja-mowa-język osób z zaburzeniami ze spektrum autyzmu. Wydawnictwo Adam Marszałek.</w:t>
            </w:r>
          </w:p>
          <w:p w14:paraId="0AFBA7AE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Field, E. I. (2023). Budowanie komunikacji i samodzielności u dzieci w spektrum autyzmu. Strategie postępowania w przypadku języka minimalnego, echolalii i nietypowych zachowań. Wydawnictwo Harmonia.</w:t>
            </w:r>
          </w:p>
          <w:p w14:paraId="53AF67E3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Kolanko, A. (2023). Trenuję umiejętności komunikacyjne. Karty pracy  do rewalidacji i terapii dzieci i młodzieży ze spektrum autyzmu oraz specjalnymi potrzebami edukacyjnymi. Wydawnictwo Harmonia.</w:t>
            </w:r>
          </w:p>
          <w:p w14:paraId="7498B3E6">
            <w:pPr>
              <w:pStyle w:val="12"/>
              <w:spacing w:before="0" w:beforeAutospacing="0" w:after="0" w:afterAutospacing="0"/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color w:val="000000"/>
                <w:sz w:val="21"/>
                <w:szCs w:val="21"/>
                <w:lang w:val="pl-PL"/>
              </w:rPr>
              <w:t>Stojanowski, J. (2023). Rozwijanie komunikacji. Karty pracy dla uczniów z niepełnosprawnością intelektualną, autyzmem oraz problemami w komunikowaniu się. Wydawnictwo Harmonia.</w:t>
            </w:r>
          </w:p>
        </w:tc>
      </w:tr>
    </w:tbl>
    <w:p w14:paraId="3B0E7297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 w14:paraId="75C516C7">
      <w:pPr>
        <w:pStyle w:val="17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 przedmiotu (zajęć) (z uwzględnieniem formy zajęć)</w:t>
      </w:r>
      <w:r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</w:p>
    <w:p w14:paraId="1D5BAD3E">
      <w:pPr>
        <w:pStyle w:val="17"/>
        <w:numPr>
          <w:numId w:val="0"/>
        </w:numPr>
        <w:snapToGrid w:val="0"/>
        <w:spacing w:line="276" w:lineRule="auto"/>
        <w:ind w:left="567" w:leftChars="0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Ćwiczenia</w:t>
      </w:r>
    </w:p>
    <w:p w14:paraId="6C079634">
      <w:pPr>
        <w:pStyle w:val="12"/>
        <w:numPr>
          <w:ilvl w:val="0"/>
          <w:numId w:val="6"/>
        </w:numPr>
        <w:spacing w:line="276" w:lineRule="auto"/>
        <w:jc w:val="both"/>
        <w:rPr>
          <w:rStyle w:val="13"/>
          <w:rFonts w:hint="default" w:asciiTheme="minorHAnsi" w:hAnsiTheme="minorHAnsi" w:cstheme="minorHAnsi"/>
          <w:color w:val="000000"/>
        </w:rPr>
      </w:pPr>
      <w:r>
        <w:rPr>
          <w:rStyle w:val="13"/>
          <w:rFonts w:hint="default" w:asciiTheme="minorHAnsi" w:hAnsiTheme="minorHAnsi" w:cstheme="minorHAnsi"/>
          <w:color w:val="000000"/>
        </w:rPr>
        <w:t>C.1</w:t>
      </w: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 xml:space="preserve"> Zapoznanie studentów z istotą pracy w grupie zróżnicowanej</w:t>
      </w:r>
    </w:p>
    <w:p w14:paraId="0D826162">
      <w:pPr>
        <w:pStyle w:val="12"/>
        <w:numPr>
          <w:ilvl w:val="0"/>
          <w:numId w:val="6"/>
        </w:numPr>
        <w:spacing w:line="276" w:lineRule="auto"/>
        <w:jc w:val="both"/>
        <w:rPr>
          <w:rStyle w:val="13"/>
          <w:rFonts w:hint="default" w:asciiTheme="minorHAnsi" w:hAnsiTheme="minorHAnsi" w:cstheme="minorHAnsi"/>
          <w:color w:val="000000"/>
        </w:rPr>
      </w:pPr>
      <w:r>
        <w:rPr>
          <w:rStyle w:val="13"/>
          <w:rFonts w:hint="default" w:asciiTheme="minorHAnsi" w:hAnsiTheme="minorHAnsi" w:cstheme="minorHAnsi"/>
          <w:color w:val="000000"/>
        </w:rPr>
        <w:t xml:space="preserve">C.2 </w:t>
      </w: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>Poszerzenie wiedzy z zakresu metod nauczania, form organizacyjnych oraz środków dydaktyczne wykorzystywanych w pracy w grupach zróżnicowanych ze szczególnym uwzględnieniem uczniów z zaburzeniami komunikacji</w:t>
      </w:r>
    </w:p>
    <w:p w14:paraId="6C5A2D28">
      <w:pPr>
        <w:pStyle w:val="12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Style w:val="13"/>
          <w:rFonts w:hint="default" w:asciiTheme="minorHAnsi" w:hAnsiTheme="minorHAnsi" w:cstheme="minorHAnsi"/>
          <w:color w:val="000000"/>
        </w:rPr>
        <w:t xml:space="preserve">C.3 </w:t>
      </w: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>Rozwijanie umiejętności projektowania zajęć na potrzeby pracy w grupach zróżnicowanych</w:t>
      </w:r>
    </w:p>
    <w:p w14:paraId="5A835004">
      <w:pPr>
        <w:pStyle w:val="17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Treści programowe (z uwzględnieniem formy zajęć)</w:t>
      </w:r>
    </w:p>
    <w:p w14:paraId="6A7F7B1B">
      <w:pPr>
        <w:pStyle w:val="17"/>
        <w:spacing w:before="120" w:line="276" w:lineRule="auto"/>
        <w:ind w:left="1134" w:hanging="567"/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Ćwiczenia</w:t>
      </w:r>
    </w:p>
    <w:p w14:paraId="1C9C3693">
      <w:pPr>
        <w:pStyle w:val="17"/>
        <w:spacing w:line="276" w:lineRule="auto"/>
        <w:ind w:left="440" w:leftChars="0" w:firstLine="0" w:firstLineChars="0"/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</w:pP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>1.Zapoznanie z kartą przedmiotu oraz warunkami zaliczenia</w:t>
      </w:r>
    </w:p>
    <w:p w14:paraId="47822879">
      <w:pPr>
        <w:pStyle w:val="17"/>
        <w:spacing w:line="276" w:lineRule="auto"/>
        <w:ind w:left="440" w:leftChars="0" w:firstLine="0" w:firstLineChars="0"/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</w:pP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>2.Społeczne i indywidualne czynniki rozwoju kompetencji językowej i komunikacyjnej.</w:t>
      </w:r>
    </w:p>
    <w:p w14:paraId="473EE244">
      <w:pPr>
        <w:pStyle w:val="17"/>
        <w:spacing w:line="276" w:lineRule="auto"/>
        <w:ind w:left="440" w:leftChars="0" w:firstLine="0" w:firstLineChars="0"/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</w:pP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>3.Wybrane nieprawidłowości w rozwoju kompetencji językowej i komunikacyjnej u dzieci i uczniów</w:t>
      </w:r>
    </w:p>
    <w:p w14:paraId="6D0E95B7">
      <w:pPr>
        <w:pStyle w:val="17"/>
        <w:spacing w:line="276" w:lineRule="auto"/>
        <w:ind w:left="440" w:leftChars="0" w:firstLine="0" w:firstLineChars="0"/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</w:pP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 xml:space="preserve">4.Tworzenie środowiska sprzyjającemu uczeniu się i uwzględnieniu różnorodnych potrzeb </w:t>
      </w:r>
      <w:r>
        <w:rPr>
          <w:rStyle w:val="13"/>
          <w:rFonts w:hint="default" w:asciiTheme="minorHAnsi" w:hAnsiTheme="minorHAnsi" w:cstheme="minorHAnsi"/>
          <w:b w:val="0"/>
          <w:bCs w:val="0"/>
          <w:color w:val="000000"/>
          <w:lang w:val="pl-PL"/>
        </w:rPr>
        <w:t xml:space="preserve">komunikacyjnych </w:t>
      </w: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>uczniów (wyznaczanie celów, motywowanie i docenianie osiągnięć, uczenie się oparte o współpracę)</w:t>
      </w:r>
    </w:p>
    <w:p w14:paraId="486A0D89">
      <w:pPr>
        <w:pStyle w:val="17"/>
        <w:spacing w:line="276" w:lineRule="auto"/>
        <w:ind w:left="440" w:leftChars="0" w:firstLine="0" w:firstLineChars="0"/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</w:pP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>5.Metody nauczania uwzględniające zróżnicowanie potrzeb</w:t>
      </w:r>
      <w:r>
        <w:rPr>
          <w:rStyle w:val="13"/>
          <w:rFonts w:hint="default" w:asciiTheme="minorHAnsi" w:hAnsiTheme="minorHAnsi" w:cstheme="minorHAnsi"/>
          <w:b w:val="0"/>
          <w:bCs w:val="0"/>
          <w:color w:val="000000"/>
          <w:lang w:val="pl-PL"/>
        </w:rPr>
        <w:t xml:space="preserve">y językowe i komunikacyjne </w:t>
      </w: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>uczniów</w:t>
      </w:r>
    </w:p>
    <w:p w14:paraId="5FA57D15">
      <w:pPr>
        <w:pStyle w:val="17"/>
        <w:spacing w:line="276" w:lineRule="auto"/>
        <w:ind w:left="440" w:leftChars="0" w:firstLine="0" w:firstLineChars="0"/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</w:pP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 xml:space="preserve">6.Formy organizacyjne pracy na lekcji z uczniami z zaburzeniami komunikacji w grupach zróżnicowanych </w:t>
      </w:r>
    </w:p>
    <w:p w14:paraId="797C01A3">
      <w:pPr>
        <w:pStyle w:val="17"/>
        <w:spacing w:line="276" w:lineRule="auto"/>
        <w:ind w:left="440" w:leftChars="0" w:firstLine="0" w:firstLineChars="0"/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</w:pP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>7.Środki dydaktyczne wykorzystywane w pracy z uczniami z zaburzeniami komunikacji w grupach zróżnicowanych</w:t>
      </w:r>
    </w:p>
    <w:p w14:paraId="38D12D72">
      <w:pPr>
        <w:pStyle w:val="17"/>
        <w:spacing w:line="276" w:lineRule="auto"/>
        <w:ind w:left="440" w:leftChars="0" w:firstLine="0" w:firstLineChars="0"/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</w:pP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>8.Projektowanie zajęć dla grupy zróżnicowanej (ze szczególnym uwzględnieniem ćwiczeń stymulujących rozwój kompetencji językowej i komunikacyjnej dziecka z wykorzystaniem gier, zabaw i literatury dziecięcej;</w:t>
      </w:r>
    </w:p>
    <w:p w14:paraId="204C961D">
      <w:pPr>
        <w:pStyle w:val="17"/>
        <w:spacing w:line="276" w:lineRule="auto"/>
        <w:ind w:left="440" w:leftChars="0" w:firstLine="0" w:firstLineChars="0"/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</w:pP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>9.Wykorzystanie nowych technologii w procesie edukacji uczniów.</w:t>
      </w:r>
    </w:p>
    <w:p w14:paraId="5CFC8681">
      <w:pPr>
        <w:pStyle w:val="17"/>
        <w:spacing w:line="276" w:lineRule="auto"/>
        <w:ind w:left="440" w:leftChars="0" w:firstLine="0" w:firstLineChars="0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default" w:asciiTheme="minorHAnsi" w:hAnsiTheme="minorHAnsi" w:cstheme="minorHAnsi"/>
          <w:b w:val="0"/>
          <w:bCs w:val="0"/>
          <w:color w:val="000000"/>
        </w:rPr>
        <w:t xml:space="preserve">10.Sprawozdanie i ocenianie efektów kształcenia (cechy dobrego oceniania, ocenianie kształtujące) </w:t>
      </w:r>
    </w:p>
    <w:p w14:paraId="3B318EBA">
      <w:pPr>
        <w:pStyle w:val="17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26"/>
        <w:gridCol w:w="1773"/>
      </w:tblGrid>
      <w:tr w14:paraId="0AD07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73D40B8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03E8DA2B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170658C0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 w14:paraId="698768E8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 w14:paraId="7B825B8C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2C7DB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1AF8B32B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W01</w:t>
            </w:r>
          </w:p>
          <w:p w14:paraId="3251B492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D.3.W5. </w:t>
            </w:r>
          </w:p>
          <w:p w14:paraId="201E681E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6830" w:type="dxa"/>
            <w:vAlign w:val="top"/>
          </w:tcPr>
          <w:p w14:paraId="51FE3CF4">
            <w:pP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Zna i rozumie k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</w:rPr>
              <w:t>oncepcje rehabilitacji, edukacji, resocjalizacji i terapii osób ze specjalnymi potrzebami edukacyjnymi oraz różnorodne uwarunkowania tych procesów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.</w:t>
            </w:r>
          </w:p>
          <w:p w14:paraId="076B286E">
            <w:pP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Zna i rozumie metody nauczania (konwencjonalne i niekonwencjonalne metody nauczania i ich adaptację do zróżnicowanych potrzeb dzieci i uczniów, metody aktywizujące, metodę projektów, pracę badawczą dziecka i ucznia), alternatywne sposoby uczenia się i elastycznego nauczania.</w:t>
            </w:r>
          </w:p>
        </w:tc>
        <w:tc>
          <w:tcPr>
            <w:tcW w:w="1773" w:type="dxa"/>
            <w:vAlign w:val="top"/>
          </w:tcPr>
          <w:p w14:paraId="21754FA8">
            <w:pPr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</w:rPr>
              <w:t>PSPEC_W05</w:t>
            </w:r>
          </w:p>
        </w:tc>
      </w:tr>
      <w:tr w14:paraId="2CEA0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5B3BFDF4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W02</w:t>
            </w:r>
          </w:p>
          <w:p w14:paraId="75007394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D.3.W6. </w:t>
            </w:r>
          </w:p>
          <w:p w14:paraId="4364C7F5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6830" w:type="dxa"/>
            <w:vAlign w:val="top"/>
          </w:tcPr>
          <w:p w14:paraId="278A52F5">
            <w:pP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Zna i rozumie w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</w:rPr>
              <w:t>spółczesne podejście do problemów uczniów ze specjalnymi potrzebami edukacyjnymi i wynikające z niego nowe formy edukacji, w tym integracyjna i włączająca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 xml:space="preserve">. </w:t>
            </w:r>
          </w:p>
          <w:p w14:paraId="577ADB3B">
            <w:pP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Zna i rozumie  formy organizacyjne pracy na lekcji (pracę zbiorową, grupową, indywidualną, tutoring uczniowski w klasach włączających); modele nauczania w małych grupach w klasach włączających;</w:t>
            </w:r>
          </w:p>
        </w:tc>
        <w:tc>
          <w:tcPr>
            <w:tcW w:w="1773" w:type="dxa"/>
            <w:vAlign w:val="top"/>
          </w:tcPr>
          <w:p w14:paraId="009D4844">
            <w:pPr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</w:rPr>
              <w:t>PSPEC_W09</w:t>
            </w:r>
          </w:p>
        </w:tc>
      </w:tr>
      <w:tr w14:paraId="39B53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47CFDA54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W03</w:t>
            </w:r>
          </w:p>
          <w:p w14:paraId="08CA5786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D.3.W7. </w:t>
            </w:r>
          </w:p>
          <w:p w14:paraId="4E4C2D22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6830" w:type="dxa"/>
            <w:vAlign w:val="top"/>
          </w:tcPr>
          <w:p w14:paraId="4F835791">
            <w:pPr>
              <w:rPr>
                <w:rStyle w:val="28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Zna i rozumie o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</w:rPr>
              <w:t>rganizację i metodyki kształcenia uczniów ze specjalnymi potrzebami edukacyjnymi w systemie integracyjnym i włączającym, w szczególności modele współpracy pedagogów specjalnych z nauczycielami, specjalistami, rodzicami lub</w:t>
            </w:r>
            <w:r>
              <w:rPr>
                <w:rStyle w:val="29"/>
                <w:rFonts w:hint="default" w:ascii="Calibri" w:hAnsi="Calibri" w:cs="Calibri"/>
                <w:color w:val="FF0000"/>
                <w:sz w:val="21"/>
                <w:szCs w:val="21"/>
              </w:rPr>
              <w:t xml:space="preserve"> 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</w:rPr>
              <w:t>opiekunami oraz modele indywidualizacji lekcji, efektywne strategie nauczania i uniwersalnego projektowania zajęć;</w:t>
            </w:r>
            <w:r>
              <w:rPr>
                <w:rStyle w:val="28"/>
                <w:rFonts w:hint="default" w:ascii="Calibri" w:hAnsi="Calibri" w:cs="Calibri"/>
                <w:sz w:val="21"/>
                <w:szCs w:val="21"/>
              </w:rPr>
              <w:t> </w:t>
            </w:r>
          </w:p>
          <w:p w14:paraId="58AA0FBA">
            <w:pPr>
              <w:rPr>
                <w:rStyle w:val="28"/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Style w:val="28"/>
                <w:rFonts w:hint="default" w:ascii="Calibri" w:hAnsi="Calibri" w:cs="Calibri"/>
                <w:sz w:val="21"/>
                <w:szCs w:val="21"/>
                <w:lang w:val="pl-PL"/>
              </w:rPr>
              <w:t>Zna i rozumie modele współpracy nauczycieli i specjalistów oraz ich konsekwencje dla organizacji zajęć edukacyjnych.</w:t>
            </w:r>
          </w:p>
        </w:tc>
        <w:tc>
          <w:tcPr>
            <w:tcW w:w="1773" w:type="dxa"/>
            <w:vAlign w:val="top"/>
          </w:tcPr>
          <w:p w14:paraId="33CB8780">
            <w:pPr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</w:rPr>
              <w:t>PSPEC_W11</w:t>
            </w:r>
          </w:p>
        </w:tc>
      </w:tr>
    </w:tbl>
    <w:p w14:paraId="09AC7E29">
      <w:pPr>
        <w:pStyle w:val="7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umiejętności</w:t>
      </w:r>
      <w:r>
        <w:rPr>
          <w:rFonts w:ascii="Calibri" w:hAnsi="Calibri" w:cs="Calibr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821"/>
        <w:gridCol w:w="1773"/>
      </w:tblGrid>
      <w:tr w14:paraId="0844A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44" w:type="dxa"/>
            <w:shd w:val="clear" w:color="auto" w:fill="ECF1F8"/>
            <w:vAlign w:val="top"/>
          </w:tcPr>
          <w:p w14:paraId="3A9EB20D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U01</w:t>
            </w:r>
          </w:p>
          <w:p w14:paraId="22D31B33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D.3.U1. </w:t>
            </w:r>
          </w:p>
          <w:p w14:paraId="550ECE22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D.3.U3. </w:t>
            </w:r>
          </w:p>
          <w:p w14:paraId="41E50DDB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D.3.U4. </w:t>
            </w:r>
          </w:p>
          <w:p w14:paraId="405997CF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6821" w:type="dxa"/>
            <w:vAlign w:val="top"/>
          </w:tcPr>
          <w:p w14:paraId="75216E2B">
            <w:pPr>
              <w:rPr>
                <w:rStyle w:val="28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Potrafi w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</w:rPr>
              <w:t xml:space="preserve">ykorzystywać i integrować wiedzę z zakresu pedagogiki specjalnej oraz powiązanych z nią dyscyplin naukowych w celu analizy problemów rehabilitacyjnych, edukacyjnych, terapeutycznych i 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resocjalizacyjnych.</w:t>
            </w:r>
            <w:r>
              <w:rPr>
                <w:rStyle w:val="28"/>
                <w:rFonts w:hint="default" w:ascii="Calibri" w:hAnsi="Calibri" w:cs="Calibri"/>
                <w:sz w:val="21"/>
                <w:szCs w:val="21"/>
              </w:rPr>
              <w:t> </w:t>
            </w:r>
          </w:p>
          <w:p w14:paraId="3F62587D">
            <w:pPr>
              <w:rPr>
                <w:rStyle w:val="28"/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Style w:val="28"/>
                <w:rFonts w:hint="default" w:ascii="Calibri" w:hAnsi="Calibri" w:cs="Calibri"/>
                <w:sz w:val="21"/>
                <w:szCs w:val="21"/>
                <w:lang w:val="pl-PL"/>
              </w:rPr>
              <w:t>Potrafi projektować zajęcia dla zróżnicowanych grup dzieci i uczniów, a także motywować dziecko i ucznia ze specjalnymi potrzebami edukacyjnymi; rozwijać jego ciekawość, aktywność i samodzielność, wspierać motywację do uczenia się;</w:t>
            </w:r>
          </w:p>
          <w:p w14:paraId="6EE4A6C0">
            <w:pPr>
              <w:rPr>
                <w:rStyle w:val="28"/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Style w:val="28"/>
                <w:rFonts w:hint="default" w:ascii="Calibri" w:hAnsi="Calibri" w:cs="Calibri"/>
                <w:sz w:val="21"/>
                <w:szCs w:val="21"/>
                <w:lang w:val="pl-PL"/>
              </w:rPr>
              <w:t>Potrafi stosować ocenianie wspierające uczenie się.</w:t>
            </w:r>
          </w:p>
        </w:tc>
        <w:tc>
          <w:tcPr>
            <w:tcW w:w="1773" w:type="dxa"/>
            <w:vAlign w:val="top"/>
          </w:tcPr>
          <w:p w14:paraId="1E8C5279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</w:rPr>
              <w:t>PSPEC_U01</w:t>
            </w:r>
          </w:p>
        </w:tc>
      </w:tr>
    </w:tbl>
    <w:p w14:paraId="35A63644">
      <w:pPr>
        <w:pStyle w:val="7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ascii="Calibri" w:hAnsi="Calibri" w:cs="Calibr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031A3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7CAE35ED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K01</w:t>
            </w:r>
          </w:p>
          <w:p w14:paraId="79944151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D.3.K1.</w:t>
            </w:r>
          </w:p>
        </w:tc>
        <w:tc>
          <w:tcPr>
            <w:tcW w:w="6830" w:type="dxa"/>
            <w:vAlign w:val="top"/>
          </w:tcPr>
          <w:p w14:paraId="4257AF92">
            <w:pP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Jest gotów do k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</w:rPr>
              <w:t>omunikowania się i współpracy z otoczeniem oraz aktywnego uczestnictwa w grupach i organizacjach realizujących działania edukacyjne, rehabilitacyjne, terapeutyczne i resocjalizacyjne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.</w:t>
            </w:r>
          </w:p>
          <w:p w14:paraId="1DD94EDF">
            <w:pP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Jest gotów do podjęcia odpowiedzialności za podejmowane decyzje w edukacji włączającej.</w:t>
            </w:r>
          </w:p>
        </w:tc>
        <w:tc>
          <w:tcPr>
            <w:tcW w:w="1773" w:type="dxa"/>
            <w:vAlign w:val="top"/>
          </w:tcPr>
          <w:p w14:paraId="38F7523A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Calibri" w:hAnsi="Calibri" w:cs="Calibri"/>
                <w:color w:val="auto"/>
                <w:sz w:val="21"/>
                <w:szCs w:val="21"/>
              </w:rPr>
              <w:t>PSPEC_K03</w:t>
            </w:r>
          </w:p>
        </w:tc>
      </w:tr>
      <w:tr w14:paraId="65924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798535C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top"/>
          </w:tcPr>
          <w:p w14:paraId="1E5DA7CD">
            <w:pP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</w:pP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Jest gotów do r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</w:rPr>
              <w:t>ozpoznawania specyfiki środowiska lokalnego i regionalnego oraz ich wpływu na funkcjonowanie uczniów a także podejmowania współpracy na rzecz dobra uczniów i tych środowisk</w:t>
            </w:r>
            <w: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  <w:t>.</w:t>
            </w:r>
          </w:p>
          <w:p w14:paraId="514E1685">
            <w:pPr>
              <w:rPr>
                <w:rStyle w:val="29"/>
                <w:rFonts w:hint="default"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1773" w:type="dxa"/>
            <w:vAlign w:val="top"/>
          </w:tcPr>
          <w:p w14:paraId="477F1DD9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Calibri" w:hAnsi="Calibri" w:cs="Calibri"/>
                <w:color w:val="auto"/>
                <w:sz w:val="21"/>
                <w:szCs w:val="21"/>
              </w:rPr>
              <w:t>PSPEC_K05</w:t>
            </w:r>
          </w:p>
        </w:tc>
      </w:tr>
    </w:tbl>
    <w:p w14:paraId="0E49F89D">
      <w:pPr>
        <w:pStyle w:val="17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 w14:paraId="21C414C0">
      <w:pPr>
        <w:pStyle w:val="17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4"/>
        <w:tblW w:w="4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28"/>
        <w:gridCol w:w="1228"/>
        <w:gridCol w:w="1228"/>
      </w:tblGrid>
      <w:tr w14:paraId="6D40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>
            <w:pPr>
              <w:pStyle w:val="17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77276A7B">
            <w:pPr>
              <w:pStyle w:val="17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0F20BFCC">
            <w:pPr>
              <w:pStyle w:val="17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 własna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1FDCDC6B">
            <w:pPr>
              <w:pStyle w:val="17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</w:t>
            </w:r>
          </w:p>
          <w:p w14:paraId="15D670F9">
            <w:pPr>
              <w:pStyle w:val="17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 grupie</w:t>
            </w:r>
          </w:p>
        </w:tc>
      </w:tr>
    </w:tbl>
    <w:p w14:paraId="431F9068">
      <w:pPr>
        <w:pStyle w:val="17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9B396A4">
      <w:pPr>
        <w:pStyle w:val="17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4"/>
        <w:tblW w:w="4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14:paraId="418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tcBorders>
              <w:tl2br w:val="single" w:color="auto" w:sz="4" w:space="0"/>
            </w:tcBorders>
          </w:tcPr>
          <w:p w14:paraId="70E4D4B0">
            <w:pPr>
              <w:pStyle w:val="17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 w14:paraId="3418BEEC">
            <w:pPr>
              <w:pStyle w:val="17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F7C6A0C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8" w:type="dxa"/>
            <w:shd w:val="clear" w:color="auto" w:fill="F1F1F1" w:themeFill="background1" w:themeFillShade="F2"/>
          </w:tcPr>
          <w:p w14:paraId="323B1438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4D30F911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</w:tcPr>
          <w:p w14:paraId="12A090D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153B814C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6B70478B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07EF90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B7DC425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ED82D81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 w14:paraId="43F0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777F5F62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47F4E7A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6364A56B">
            <w:pPr>
              <w:pStyle w:val="17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136A334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2805884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28B1004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6DFEE569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00D7B369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786CB8F1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731E4D0F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198D2576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W02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5BA8022B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6DC14789">
            <w:pPr>
              <w:pStyle w:val="17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1AEDF80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6BEB3A9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37892F0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49170AD2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2A55C2E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3004065C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649EC29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B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522DD951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W03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28DE689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29F95A87">
            <w:pPr>
              <w:pStyle w:val="17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19B8B9B8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17EF0EE1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7CD7E74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0DC514C6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6645793A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19F506CF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5ACCCF5D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E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39F46BF8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593C312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2A05C114">
            <w:pPr>
              <w:pStyle w:val="17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22213271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0A6A3FB5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53732C3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092CDEB7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0388F883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4F75D932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7E6F634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A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4F37F01B">
            <w:pPr>
              <w:jc w:val="center"/>
              <w:rPr>
                <w:rFonts w:hint="default"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0641A19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7F2AA74F">
            <w:pPr>
              <w:pStyle w:val="17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50B834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59ABCB40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606B8710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74064C4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40F6373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2E10FF87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32B6F86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2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6939CFCB">
            <w:pPr>
              <w:jc w:val="center"/>
              <w:rPr>
                <w:rFonts w:hint="default"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K0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  <w:lang w:val="pl-PL"/>
              </w:rPr>
              <w:t>2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269D135F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</w:tcPr>
          <w:p w14:paraId="23E911F1">
            <w:pPr>
              <w:pStyle w:val="17"/>
              <w:spacing w:line="276" w:lineRule="auto"/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5222D7F1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</w:tcPr>
          <w:p w14:paraId="68B5F672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7824980A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</w:tcPr>
          <w:p w14:paraId="365ED401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</w:tcPr>
          <w:p w14:paraId="413FFE70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030420E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B6A3DA5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17212A">
      <w:pPr>
        <w:pStyle w:val="7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 w14:paraId="266010DE">
      <w:pPr>
        <w:pStyle w:val="17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 w14:paraId="65637451">
      <w:pPr>
        <w:pStyle w:val="17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33722C48">
      <w:pPr>
        <w:pStyle w:val="17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870"/>
      </w:tblGrid>
      <w:tr w14:paraId="0143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3E198C5D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0" w:type="dxa"/>
          </w:tcPr>
          <w:p w14:paraId="752AAD30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0084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04BF7E8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0" w:type="dxa"/>
          </w:tcPr>
          <w:p w14:paraId="4165FC14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51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-60%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 xml:space="preserve"> za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zada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 xml:space="preserve">nia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stawian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e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studentowi </w:t>
            </w:r>
          </w:p>
        </w:tc>
      </w:tr>
      <w:tr w14:paraId="6686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6F96BC11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0" w:type="dxa"/>
          </w:tcPr>
          <w:p w14:paraId="04B9C9FF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-70% 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za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zada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 xml:space="preserve">nia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stawian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e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studentowi </w:t>
            </w:r>
          </w:p>
        </w:tc>
      </w:tr>
      <w:tr w14:paraId="16B7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62C66F3D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0" w:type="dxa"/>
          </w:tcPr>
          <w:p w14:paraId="71A65FD5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-80% 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za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zada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 xml:space="preserve">nia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stawian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e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studentowi </w:t>
            </w:r>
          </w:p>
        </w:tc>
      </w:tr>
      <w:tr w14:paraId="141A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14AD0C3A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0" w:type="dxa"/>
          </w:tcPr>
          <w:p w14:paraId="4DBAD8BF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-90% 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za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zada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 xml:space="preserve">nia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stawian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e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studentowi </w:t>
            </w:r>
          </w:p>
        </w:tc>
      </w:tr>
      <w:tr w14:paraId="0DB3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44E8B17B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0" w:type="dxa"/>
          </w:tcPr>
          <w:p w14:paraId="2DED8FD4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-100% 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za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zada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 xml:space="preserve">nia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stawian</w:t>
            </w:r>
            <w:r>
              <w:rPr>
                <w:rFonts w:hint="default" w:asciiTheme="minorHAnsi" w:hAnsiTheme="minorHAnsi" w:cstheme="minorHAnsi"/>
                <w:b w:val="0"/>
                <w:bCs w:val="0"/>
                <w:sz w:val="21"/>
                <w:szCs w:val="21"/>
                <w:lang w:val="pl-PL"/>
              </w:rPr>
              <w:t>e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studentowi </w:t>
            </w:r>
          </w:p>
        </w:tc>
      </w:tr>
    </w:tbl>
    <w:p w14:paraId="54AEB576">
      <w:pPr>
        <w:pStyle w:val="3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2172"/>
        <w:gridCol w:w="2173"/>
      </w:tblGrid>
      <w:tr w14:paraId="787BC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4702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vAlign w:val="center"/>
          </w:tcPr>
          <w:p w14:paraId="00D4FB16">
            <w:pPr>
              <w:pStyle w:val="17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05B128ED">
            <w:pPr>
              <w:pStyle w:val="17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 w14:paraId="63A3A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 w14:paraId="406E10AF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5982F10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0F6653A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10</w:t>
            </w:r>
          </w:p>
        </w:tc>
      </w:tr>
      <w:tr w14:paraId="7CA17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21FF7B1C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122994B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075FADF6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14:paraId="71EB6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14717A42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606BF84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920FF3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15</w:t>
            </w:r>
          </w:p>
        </w:tc>
      </w:tr>
      <w:tr w14:paraId="19B62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5A3B4896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2F5C8E0E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0CC26C0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14:paraId="6225F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5CB236AC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BE84824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592456E2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5</w:t>
            </w:r>
          </w:p>
        </w:tc>
      </w:tr>
      <w:tr w14:paraId="479C2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4CBE6424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3F14962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13D0AD7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25</w:t>
            </w:r>
          </w:p>
        </w:tc>
      </w:tr>
      <w:tr w14:paraId="50C79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4DDE2AE9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5F20FA6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0F33C98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163F0B87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czytelne podpisy osób prowadzących przedmiot (zajęcia)w danym roku akademickim)</w:t>
      </w:r>
    </w:p>
    <w:p w14:paraId="0A5643A5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>
      <w:headerReference r:id="rId3" w:type="default"/>
      <w:pgSz w:w="11910" w:h="16840"/>
      <w:pgMar w:top="720" w:right="720" w:bottom="720" w:left="720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9A34A">
    <w:pPr>
      <w:pStyle w:val="7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0D8B"/>
    <w:multiLevelType w:val="multilevel"/>
    <w:tmpl w:val="241C0D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 w:tentative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 w:tentative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04354"/>
    <w:multiLevelType w:val="multilevel"/>
    <w:tmpl w:val="5710435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59B8276E"/>
    <w:multiLevelType w:val="multilevel"/>
    <w:tmpl w:val="59B8276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7BAD791E"/>
    <w:multiLevelType w:val="multilevel"/>
    <w:tmpl w:val="7BAD791E"/>
    <w:lvl w:ilvl="0" w:tentative="0">
      <w:start w:val="1"/>
      <w:numFmt w:val="decimal"/>
      <w:pStyle w:val="3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6905"/>
    <w:rsid w:val="001D18A7"/>
    <w:rsid w:val="001D511D"/>
    <w:rsid w:val="001E0ADE"/>
    <w:rsid w:val="001E7B5A"/>
    <w:rsid w:val="00204C4C"/>
    <w:rsid w:val="0021069E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F7D59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D587D"/>
    <w:rsid w:val="004E017B"/>
    <w:rsid w:val="004F47E5"/>
    <w:rsid w:val="00501548"/>
    <w:rsid w:val="00513674"/>
    <w:rsid w:val="00522DED"/>
    <w:rsid w:val="00535E2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0CCA"/>
    <w:rsid w:val="006D764F"/>
    <w:rsid w:val="006E60C3"/>
    <w:rsid w:val="006F029C"/>
    <w:rsid w:val="00725F8A"/>
    <w:rsid w:val="00745543"/>
    <w:rsid w:val="00775AF1"/>
    <w:rsid w:val="00780C22"/>
    <w:rsid w:val="0078420E"/>
    <w:rsid w:val="007B605E"/>
    <w:rsid w:val="007C3DBD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7527"/>
    <w:rsid w:val="00A37682"/>
    <w:rsid w:val="00A376DE"/>
    <w:rsid w:val="00A549B8"/>
    <w:rsid w:val="00A5532D"/>
    <w:rsid w:val="00A713B4"/>
    <w:rsid w:val="00AB3480"/>
    <w:rsid w:val="00AB3AC0"/>
    <w:rsid w:val="00AB5E65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83F85"/>
    <w:rsid w:val="00CA3616"/>
    <w:rsid w:val="00CB604E"/>
    <w:rsid w:val="00CC0F64"/>
    <w:rsid w:val="00CD60D3"/>
    <w:rsid w:val="00CF48D1"/>
    <w:rsid w:val="00D05AB2"/>
    <w:rsid w:val="00D16B7D"/>
    <w:rsid w:val="00D85EF3"/>
    <w:rsid w:val="00D864ED"/>
    <w:rsid w:val="00D938BC"/>
    <w:rsid w:val="00DA28D5"/>
    <w:rsid w:val="00DB50F9"/>
    <w:rsid w:val="00DB5D67"/>
    <w:rsid w:val="00DD65E8"/>
    <w:rsid w:val="00DE1F53"/>
    <w:rsid w:val="00DF7F48"/>
    <w:rsid w:val="00E17D02"/>
    <w:rsid w:val="00E30DA9"/>
    <w:rsid w:val="00E40AE9"/>
    <w:rsid w:val="00E5063A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2959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51DB0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0"/>
        <w:numId w:val="1"/>
      </w:numPr>
      <w:shd w:val="clear" w:color="auto" w:fill="ECF1F8"/>
      <w:spacing w:before="40"/>
      <w:ind w:right="547"/>
      <w:outlineLvl w:val="1"/>
    </w:pPr>
    <w:rPr>
      <w:rFonts w:asciiTheme="minorHAnsi" w:hAnsiTheme="minorHAnsi" w:eastAsiaTheme="majorEastAsia" w:cstheme="minorHAnsi"/>
      <w:b/>
      <w:bCs/>
      <w:sz w:val="20"/>
      <w:szCs w:val="2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2"/>
    <w:qFormat/>
    <w:uiPriority w:val="1"/>
    <w:rPr>
      <w:b/>
      <w:bCs/>
      <w:sz w:val="20"/>
      <w:szCs w:val="20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20"/>
    <w:unhideWhenUsed/>
    <w:qFormat/>
    <w:uiPriority w:val="0"/>
    <w:rPr>
      <w:sz w:val="20"/>
      <w:szCs w:val="20"/>
    </w:rPr>
  </w:style>
  <w:style w:type="paragraph" w:styleId="10">
    <w:name w:val="annotation subject"/>
    <w:basedOn w:val="9"/>
    <w:next w:val="9"/>
    <w:link w:val="21"/>
    <w:semiHidden/>
    <w:unhideWhenUsed/>
    <w:qFormat/>
    <w:uiPriority w:val="99"/>
    <w:rPr>
      <w:b/>
      <w:bCs/>
    </w:rPr>
  </w:style>
  <w:style w:type="character" w:styleId="11">
    <w:name w:val="Emphasis"/>
    <w:basedOn w:val="5"/>
    <w:qFormat/>
    <w:uiPriority w:val="20"/>
    <w:rPr>
      <w:i/>
      <w:iCs/>
    </w:rPr>
  </w:style>
  <w:style w:type="paragraph" w:styleId="12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13">
    <w:name w:val="Strong"/>
    <w:basedOn w:val="5"/>
    <w:qFormat/>
    <w:uiPriority w:val="22"/>
    <w:rPr>
      <w:b/>
      <w:bCs/>
    </w:rPr>
  </w:style>
  <w:style w:type="table" w:styleId="14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966" w:hanging="349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pl-PL" w:eastAsia="pl-PL" w:bidi="pl-PL"/>
    </w:rPr>
  </w:style>
  <w:style w:type="character" w:customStyle="1" w:styleId="19">
    <w:name w:val="Nagłówek 2 Znak"/>
    <w:basedOn w:val="5"/>
    <w:link w:val="3"/>
    <w:qFormat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20">
    <w:name w:val="Tekst komentarza Znak"/>
    <w:basedOn w:val="5"/>
    <w:link w:val="9"/>
    <w:qFormat/>
    <w:uiPriority w:val="0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21">
    <w:name w:val="Temat komentarza Znak"/>
    <w:basedOn w:val="20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2">
    <w:name w:val="Tekst podstawowy Znak"/>
    <w:basedOn w:val="5"/>
    <w:link w:val="7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3">
    <w:name w:val="Nagłówek 3 Znak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l-PL" w:eastAsia="pl-PL" w:bidi="pl-PL"/>
    </w:rPr>
  </w:style>
  <w:style w:type="paragraph" w:customStyle="1" w:styleId="24">
    <w:name w:val="Styl1"/>
    <w:basedOn w:val="4"/>
    <w:link w:val="25"/>
    <w:qFormat/>
    <w:uiPriority w:val="0"/>
    <w:rPr>
      <w:rFonts w:ascii="Calibri" w:hAnsi="Calibri"/>
      <w:i/>
      <w:color w:val="auto"/>
    </w:rPr>
  </w:style>
  <w:style w:type="character" w:customStyle="1" w:styleId="25">
    <w:name w:val="Styl1 Znak"/>
    <w:basedOn w:val="23"/>
    <w:link w:val="24"/>
    <w:qFormat/>
    <w:uiPriority w:val="0"/>
    <w:rPr>
      <w:rFonts w:ascii="Calibri" w:hAnsi="Calibri" w:eastAsiaTheme="majorEastAsia" w:cstheme="majorBidi"/>
      <w:i/>
      <w:color w:val="254061" w:themeColor="accent1" w:themeShade="80"/>
      <w:sz w:val="24"/>
      <w:szCs w:val="24"/>
      <w:lang w:val="pl-PL" w:eastAsia="pl-PL" w:bidi="pl-PL"/>
    </w:rPr>
  </w:style>
  <w:style w:type="character" w:customStyle="1" w:styleId="26">
    <w:name w:val="Body text (2)_"/>
    <w:link w:val="27"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customStyle="1" w:styleId="27">
    <w:name w:val="Body text (2)"/>
    <w:basedOn w:val="1"/>
    <w:link w:val="26"/>
    <w:qFormat/>
    <w:uiPriority w:val="0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28">
    <w:name w:val="eop"/>
    <w:basedOn w:val="5"/>
    <w:qFormat/>
    <w:uiPriority w:val="0"/>
  </w:style>
  <w:style w:type="character" w:customStyle="1" w:styleId="29">
    <w:name w:val="normaltextru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741</Words>
  <Characters>5543</Characters>
  <Lines>246</Lines>
  <Paragraphs>179</Paragraphs>
  <TotalTime>1</TotalTime>
  <ScaleCrop>false</ScaleCrop>
  <LinksUpToDate>false</LinksUpToDate>
  <CharactersWithSpaces>6193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2026-04-17T13:08:00Z</dcterms:created>
  <dc:creator>Rektor UJK</dc:creator>
  <cp:keywords>Zarządzenie nr 189-2025 Budowa programu studiów Załącznik nr 4</cp:keywords>
  <cp:lastModifiedBy>Inga Staszowska</cp:lastModifiedBy>
  <cp:lastPrinted>2025-10-28T07:51:00Z</cp:lastPrinted>
  <dcterms:modified xsi:type="dcterms:W3CDTF">2026-06-10T21:34:37Z</dcterms:modified>
  <dc:title>Zarządzenie nr 189-2025 Budowa programu studiów Załącznik nr 4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76D7DC40B37A4509AB6DE2DDF0D3DBD9_13</vt:lpwstr>
  </property>
</Properties>
</file>