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Załącznik nr 4 do zarządzenia nr 189/2025 </w:t>
      </w:r>
    </w:p>
    <w:p>
      <w:pPr>
        <w:pStyle w:val="Normal"/>
        <w:spacing w:lineRule="auto" w:line="276"/>
        <w:ind w:left="6889" w:hanging="6889"/>
        <w:jc w:val="right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cstheme="minorHAnsi" w:ascii="Calibri" w:hAnsi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Nagwek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>
      <w:pPr>
        <w:pStyle w:val="Normal"/>
        <w:rPr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b/>
          <w:bCs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0113.1.PSP.D3.MKUZR</w:t>
      </w:r>
    </w:p>
    <w:p>
      <w:pPr>
        <w:pStyle w:val="Tretekstu"/>
        <w:tabs>
          <w:tab w:val="clear" w:pos="720"/>
          <w:tab w:val="left" w:pos="10065" w:leader="dot"/>
        </w:tabs>
        <w:spacing w:lineRule="auto" w:line="276" w:before="240" w:after="240"/>
        <w:ind w:left="425" w:hanging="0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cstheme="minorHAnsi" w:ascii="Calibri" w:hAnsi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Metodyka kształcenia uczniów z zachowaniami ryzykownymi</w:t>
      </w:r>
    </w:p>
    <w:p>
      <w:pPr>
        <w:pStyle w:val="Nagwek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Calibri" w:cstheme="minorHAnsi" w:ascii="Calibri" w:hAnsi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en-US"/>
        </w:rPr>
      </w:pPr>
      <w:r>
        <w:rPr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b/>
          <w:bCs/>
          <w:sz w:val="20"/>
          <w:szCs w:val="20"/>
          <w:lang w:val="en-US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en-US"/>
        </w:rPr>
        <w:t>Methodology of Students’ Education with Risky Behaviours</w:t>
      </w:r>
    </w:p>
    <w:p>
      <w:pPr>
        <w:pStyle w:val="Styl1"/>
        <w:spacing w:lineRule="auto" w:line="276"/>
        <w:ind w:firstLine="426"/>
        <w:rPr>
          <w:i w:val="false"/>
          <w:i w:val="false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 w:val="false"/>
          <w:iCs/>
          <w:color w:val="000000" w:themeColor="text1"/>
          <w14:textFill>
            <w14:solidFill>
              <w14:schemeClr w14:val="tx1"/>
            </w14:solidFill>
          </w14:textFill>
        </w:rPr>
      </w:r>
    </w:p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741"/>
        <w:gridCol w:w="5005"/>
      </w:tblGrid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Pedagogika specjalna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Jednolite magisterskie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dr Monika Wojtkowiak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mwojtkowiak@ujk.edu.pl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467"/>
        <w:gridCol w:w="6279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lineRule="auto" w:line="276" w:before="0" w:after="0"/>
              <w:ind w:left="487" w:hanging="357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brak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974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466"/>
        <w:gridCol w:w="6279"/>
      </w:tblGrid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6" w:right="31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EE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1"/>
                <w:szCs w:val="21"/>
              </w:rPr>
              <w:t>ćwiczenia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6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1"/>
                <w:szCs w:val="21"/>
                <w:lang w:val="pl-PL"/>
              </w:rPr>
              <w:t>pomieszczenia dydaktyczne UJK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6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1"/>
                <w:szCs w:val="21"/>
              </w:rPr>
              <w:t>zaliczenie z oceną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6" w:right="183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1"/>
                <w:szCs w:val="21"/>
                <w:lang w:val="pl-PL"/>
              </w:rPr>
              <w:t>p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1"/>
                <w:szCs w:val="21"/>
              </w:rPr>
              <w:t>ogadanka, dyskusja, burza mózgów metoda problemowa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72" w:hanging="142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rFonts w:ascii="Calibri" w:hAnsi="Calibri" w:eastAsia="Arial Unicode MS" w:cs="Calibri" w:asciiTheme="minorHAnsi" w:cstheme="minorHAnsi" w:hAnsiTheme="minorHAnsi"/>
                <w:bCs/>
                <w:color w:val="auto"/>
                <w:sz w:val="21"/>
                <w:szCs w:val="21"/>
                <w:lang w:val="pl-PL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Cs/>
                <w:color w:val="auto"/>
                <w:kern w:val="0"/>
                <w:sz w:val="21"/>
                <w:szCs w:val="21"/>
                <w:lang w:val="pl-PL"/>
              </w:rPr>
              <w:t>Dubis, M. (red.). (2017). Pedagogiczno-psychologiczne uwarunkowania wybranych zachowań ryzykownych. Innovatio Press Wydawnictwo Naukowe Wyższej Szkoły Ekonomii i Innowacji.</w:t>
            </w:r>
          </w:p>
          <w:p>
            <w:pPr>
              <w:pStyle w:val="Nagwek1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rFonts w:ascii="Calibri" w:hAnsi="Calibri" w:eastAsia="Arial Unicode MS" w:cs="Calibri" w:asciiTheme="minorHAnsi" w:cstheme="minorHAnsi" w:hAnsiTheme="minorHAnsi"/>
                <w:bCs/>
                <w:color w:val="auto"/>
                <w:sz w:val="21"/>
                <w:szCs w:val="21"/>
                <w:lang w:val="pl-PL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Cs/>
                <w:color w:val="auto"/>
                <w:kern w:val="0"/>
                <w:sz w:val="21"/>
                <w:szCs w:val="21"/>
                <w:lang w:val="pl-PL"/>
              </w:rPr>
              <w:t>Kwiatkowska, G. E., Siudem, I. (red.). (2017). Zachowania ryzykowne. Wydawnictwo UMCS.</w:t>
            </w:r>
          </w:p>
          <w:p>
            <w:pPr>
              <w:pStyle w:val="Nagwek1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rFonts w:ascii="Calibri" w:hAnsi="Calibri" w:eastAsia="Arial Unicode MS" w:cs="Calibri" w:asciiTheme="minorHAnsi" w:cstheme="minorHAnsi" w:hAnsiTheme="minorHAnsi"/>
                <w:bCs/>
                <w:color w:val="auto"/>
                <w:sz w:val="21"/>
                <w:szCs w:val="21"/>
                <w:lang w:val="pl-PL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Cs/>
                <w:color w:val="auto"/>
                <w:kern w:val="0"/>
                <w:sz w:val="21"/>
                <w:szCs w:val="21"/>
                <w:lang w:val="pl-PL"/>
              </w:rPr>
              <w:t>Olubiński, A., Zaworska-Nikoniuk, D. (red.). (2019). Dzieci i młodzież w społeczeństwie ryzyka: od wyzwań edukacyjnych do działań społecznych. Wydawnictwo UWUM.</w:t>
            </w:r>
          </w:p>
          <w:p>
            <w:pPr>
              <w:pStyle w:val="Nagwek1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  <w:lang w:val="pl-PL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Cs/>
                <w:color w:val="auto"/>
                <w:kern w:val="0"/>
                <w:sz w:val="21"/>
                <w:szCs w:val="21"/>
                <w:lang w:val="pl-PL"/>
              </w:rPr>
              <w:t>Peregud-Podgorzelski, J., Jędrzejko, M., Lewandowska A. (red.). (2025). Zachowania ryzykowne młodzieży i młodych dorosłych. Zjawisko i konsekwencje. Wydawnictwo Medical Tribune Polska.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72" w:hanging="142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1"/>
                <w:szCs w:val="21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  <w:lang w:val="pl-PL"/>
              </w:rPr>
              <w:t>Modrzyński, R. (2021). Nowe uzależnienia młodego pokolenia. Od przyjemności do przymusu. Difin.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1"/>
                <w:szCs w:val="21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  <w:lang w:val="pl-PL"/>
              </w:rPr>
              <w:t xml:space="preserve">Pyżalski, J. (2012). 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</w:rPr>
              <w:t>Agresja elektroniczna i cyberbullying jako nowe ryzykowne zachowania młodzieży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  <w:lang w:val="pl-PL"/>
              </w:rPr>
              <w:t>. Impuls.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right="183" w:hanging="0"/>
              <w:jc w:val="both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</w:rPr>
              <w:t>Ostaszewski,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  <w:lang w:val="pl-PL"/>
              </w:rPr>
              <w:t xml:space="preserve"> K.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</w:rPr>
              <w:t xml:space="preserve"> Kultura szkoły a zachowania ryzykowne uczniów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  <w:lang w:val="pl-PL"/>
              </w:rPr>
              <w:t xml:space="preserve">. 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</w:rPr>
              <w:t>”Edukacja”  2014, nr 1, s. 14-24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1"/>
                <w:szCs w:val="21"/>
                <w:lang w:val="pl-PL"/>
              </w:rPr>
              <w:t>.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>
      <w:pPr>
        <w:pStyle w:val="TableParagraph"/>
        <w:numPr>
          <w:ilvl w:val="1"/>
          <w:numId w:val="5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Ćwiczenia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C1. Zapoznanie studentów z charakterystyką i podłożem zachowań ryzykownych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C2. Przedstawienie metod pracy z uczniem przejawiającym zachowania ryzykowne (z uwzględnieniem współpracy z rodzicami).</w:t>
      </w:r>
    </w:p>
    <w:p>
      <w:pPr>
        <w:pStyle w:val="TableParagraph"/>
        <w:snapToGrid w:val="false"/>
        <w:spacing w:lineRule="auto" w:line="276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C3. Rozwijanie umiejętności rozpoznawania i przeciwdziałania specyficznym problemom w pracy z uczniem manifestującym zachowania ryzykowne</w:t>
      </w:r>
    </w:p>
    <w:p>
      <w:pPr>
        <w:pStyle w:val="TableParagraph"/>
        <w:numPr>
          <w:ilvl w:val="1"/>
          <w:numId w:val="5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>
      <w:pPr>
        <w:pStyle w:val="TableParagraph"/>
        <w:spacing w:lineRule="auto" w:line="276" w:before="120" w:after="0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>
      <w:pPr>
        <w:pStyle w:val="Normal"/>
        <w:ind w:left="498" w:hanging="498"/>
        <w:jc w:val="both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1. Zapoznanie z kartą przedmiotu oraz warunkami zaliczenia.</w:t>
      </w:r>
    </w:p>
    <w:p>
      <w:pPr>
        <w:pStyle w:val="Normal"/>
        <w:ind w:left="498" w:hanging="49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2.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Pojęcie, przyczyny i przykłady zachowań ryzykownych.</w:t>
      </w:r>
    </w:p>
    <w:p>
      <w:pPr>
        <w:pStyle w:val="Normal"/>
        <w:ind w:left="498" w:hanging="49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3. Niedostosowanie społeczne jako zjawisko, metodyka pracy z osobami niedostosowanymi społecznie.</w:t>
      </w:r>
    </w:p>
    <w:p>
      <w:pPr>
        <w:pStyle w:val="Normal"/>
        <w:ind w:left="498" w:hanging="49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4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.Prezentacja metod pracy z uczniem przejawiającym zachowania ryzykowne (z uwzględnieniem współpracy z rodzicami).</w:t>
      </w:r>
    </w:p>
    <w:p>
      <w:pPr>
        <w:pStyle w:val="Normal"/>
        <w:ind w:left="498" w:hanging="49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5.Wykorzystanie elementów socjotechniki i psychotechniki w praktyce pedagogicznej.</w:t>
      </w:r>
    </w:p>
    <w:p>
      <w:pPr>
        <w:pStyle w:val="Normal"/>
        <w:ind w:left="498" w:hanging="49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6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Zapoznanie ze specyficznymi problemami w pracy z uczniem manifestującym zachowania ryzykowne.</w:t>
      </w:r>
    </w:p>
    <w:p>
      <w:pPr>
        <w:pStyle w:val="TableParagraph"/>
        <w:spacing w:lineRule="auto" w:line="276" w:before="120" w:after="0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cstheme="minorHAnsi" w:ascii="Calibri" w:hAnsi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TableParagraph"/>
        <w:numPr>
          <w:ilvl w:val="1"/>
          <w:numId w:val="5"/>
        </w:numPr>
        <w:snapToGrid w:val="false"/>
        <w:spacing w:lineRule="auto" w:line="276" w:before="120" w:after="120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984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48"/>
        <w:gridCol w:w="6827"/>
        <w:gridCol w:w="1773"/>
      </w:tblGrid>
      <w:tr>
        <w:trPr>
          <w:trHeight w:val="980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1"/>
                <w:szCs w:val="21"/>
              </w:rPr>
              <w:t>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  <w14:textFill>
            <w14:solidFill>
              <w14:schemeClr w14:val="tx1"/>
            </w14:solidFill>
          </w14:textFill>
        </w:rPr>
        <w:t>wiedzy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52"/>
        <w:gridCol w:w="6830"/>
        <w:gridCol w:w="1774"/>
      </w:tblGrid>
      <w:tr>
        <w:trPr>
          <w:trHeight w:val="282" w:hRule="atLeast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D.3.W3.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D.3.W7.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pl-PL"/>
              </w:rPr>
              <w:t xml:space="preserve">Zna i rozumie 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0"/>
                <w:szCs w:val="20"/>
              </w:rPr>
              <w:t>źródła zakłóceń procesów komunikowania interpersonalnego i społecznego potrafi rozpoznać ich zakłócenia</w:t>
            </w: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pl-PL"/>
              </w:rPr>
              <w:t>.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pl-PL"/>
              </w:rPr>
              <w:t>Zna i rozumie pojęcie i zasady uniwersalnego projektowania zajęć oraz modele współpracy nauczycieli i specjalistów oraz ich konsekwencje dla organizacji zajęć edukacyjnych.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PSPEC_W14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  <w14:textFill>
            <w14:solidFill>
              <w14:schemeClr w14:val="tx1"/>
            </w14:solidFill>
          </w14:textFill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983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43"/>
        <w:gridCol w:w="6822"/>
        <w:gridCol w:w="1773"/>
      </w:tblGrid>
      <w:tr>
        <w:trPr>
          <w:trHeight w:val="285" w:hRule="atLeast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D.3.U1.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 xml:space="preserve">Potrafi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wykorzystywać i integrować wiedze z zakresu pedagogiki specjalnej, powiązanych z nią dyscyplin celu analizy i planowania pracy z obszarami problemów edukacyjnych i resocjalizacyjnych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.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Potrafi projektować zajęcia dla zróżnicowanych grup dzieci i uczniów.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val="pl-PL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Normaltextrun"/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PSPEC_U01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52"/>
        <w:gridCol w:w="6830"/>
        <w:gridCol w:w="1774"/>
      </w:tblGrid>
      <w:tr>
        <w:trPr>
          <w:trHeight w:val="282" w:hRule="atLeast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D.3.K1.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Jest gotów do d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oceni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enia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 xml:space="preserve"> dorob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ku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 xml:space="preserve"> pedagogiki specjalnej w celu ich wykorzystania i docenienia a także poszerzenia o nowe obszary i procedury badawcze implikowane potrzebami pracy z osobami z zachowaniami ryzykownymi.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Jest gotów do podjęcia odpowiedzialności za podejmowane decyzje w edukacji włączającej.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rFonts w:cs="Calibri" w:ascii="Calibri" w:hAnsi="Calibri" w:asciiTheme="minorHAnsi" w:cstheme="minorHAnsi" w:hAnsiTheme="minorHAnsi"/>
                <w:kern w:val="0"/>
                <w:sz w:val="20"/>
                <w:szCs w:val="20"/>
              </w:rPr>
              <w:t>PSPEC_K08</w:t>
            </w:r>
          </w:p>
        </w:tc>
      </w:tr>
    </w:tbl>
    <w:p>
      <w:pPr>
        <w:pStyle w:val="TableParagraph"/>
        <w:numPr>
          <w:ilvl w:val="1"/>
          <w:numId w:val="5"/>
        </w:numPr>
        <w:snapToGrid w:val="false"/>
        <w:spacing w:lineRule="auto" w:line="276" w:before="120" w:after="120"/>
        <w:ind w:left="1134" w:right="-20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4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28"/>
        <w:gridCol w:w="1228"/>
        <w:gridCol w:w="1228"/>
      </w:tblGrid>
      <w:tr>
        <w:trPr/>
        <w:tc>
          <w:tcPr>
            <w:tcW w:w="1245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left="-100" w:right="-11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tcBorders/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</w:t>
            </w:r>
          </w:p>
        </w:tc>
        <w:tc>
          <w:tcPr>
            <w:tcW w:w="1228" w:type="dxa"/>
            <w:tcBorders/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49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7"/>
        <w:gridCol w:w="409"/>
        <w:gridCol w:w="410"/>
        <w:gridCol w:w="409"/>
        <w:gridCol w:w="409"/>
        <w:gridCol w:w="408"/>
        <w:gridCol w:w="409"/>
        <w:gridCol w:w="409"/>
      </w:tblGrid>
      <w:tr>
        <w:trPr/>
        <w:tc>
          <w:tcPr>
            <w:tcW w:w="1237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7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8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>
        <w:trPr/>
        <w:tc>
          <w:tcPr>
            <w:tcW w:w="1237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7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8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237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7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8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237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7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8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tcBorders/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Tretekstu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>
      <w:pPr>
        <w:pStyle w:val="TableParagraph"/>
        <w:numPr>
          <w:ilvl w:val="1"/>
          <w:numId w:val="5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cstheme="minorHAnsi" w:ascii="Calibri" w:hAnsi="Calibr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9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8870"/>
      </w:tblGrid>
      <w:tr>
        <w:trPr/>
        <w:tc>
          <w:tcPr>
            <w:tcW w:w="952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>
        <w:trPr/>
        <w:tc>
          <w:tcPr>
            <w:tcW w:w="952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4"/>
                <w:szCs w:val="24"/>
              </w:rPr>
              <w:t xml:space="preserve">Od 51% do 60%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</w:rPr>
              <w:t>punktów uzyskanych za zadania opracowane wspólnie z grupą</w:t>
            </w:r>
          </w:p>
        </w:tc>
      </w:tr>
      <w:tr>
        <w:trPr/>
        <w:tc>
          <w:tcPr>
            <w:tcW w:w="952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4"/>
                <w:szCs w:val="24"/>
              </w:rPr>
              <w:t>Od 61% do 70%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</w:rPr>
              <w:t xml:space="preserve"> punktów uzyskanych za zadania opracowane wspólnie z grupą</w:t>
            </w:r>
          </w:p>
        </w:tc>
      </w:tr>
      <w:tr>
        <w:trPr/>
        <w:tc>
          <w:tcPr>
            <w:tcW w:w="952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4"/>
                <w:szCs w:val="24"/>
              </w:rPr>
              <w:t>Od 71% do 80%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</w:rPr>
              <w:t xml:space="preserve"> punktów uzyskanych za zadania opracowane wspólnie z grupą</w:t>
            </w:r>
          </w:p>
        </w:tc>
      </w:tr>
      <w:tr>
        <w:trPr/>
        <w:tc>
          <w:tcPr>
            <w:tcW w:w="952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4"/>
                <w:szCs w:val="24"/>
              </w:rPr>
              <w:t>0d 81% do 90%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</w:rPr>
              <w:t xml:space="preserve"> punktów uzyskanych za zadania opracowane wspólnie z grupą</w:t>
            </w:r>
          </w:p>
        </w:tc>
      </w:tr>
      <w:tr>
        <w:trPr/>
        <w:tc>
          <w:tcPr>
            <w:tcW w:w="952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tcBorders/>
          </w:tcPr>
          <w:p>
            <w:pPr>
              <w:pStyle w:val="Tretekstu"/>
              <w:widowControl w:val="fals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4"/>
                <w:szCs w:val="24"/>
              </w:rPr>
              <w:t>Od 91% do 100%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</w:rPr>
              <w:t xml:space="preserve"> punktów uzyskanych za zadania opracowane wspólnie z grupą</w:t>
            </w:r>
          </w:p>
        </w:tc>
      </w:tr>
    </w:tbl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 w:cstheme="minorHAnsi" w:ascii="Calibri" w:hAnsi="Calibr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Nagwek2"/>
        <w:numPr>
          <w:ilvl w:val="0"/>
          <w:numId w:val="1"/>
        </w:numPr>
        <w:shd w:val="clear" w:color="auto" w:fill="auto"/>
        <w:spacing w:lineRule="auto" w:line="276" w:before="240" w:after="0"/>
        <w:ind w:left="850" w:right="544" w:hanging="360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984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498"/>
        <w:gridCol w:w="2173"/>
        <w:gridCol w:w="2173"/>
      </w:tblGrid>
      <w:tr>
        <w:trPr>
          <w:trHeight w:val="460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rPr>
          <w:trHeight w:val="282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rPr>
          <w:trHeight w:val="285" w:hRule="atLeast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</w:tcPr>
          <w:p>
            <w:pPr>
              <w:pStyle w:val="TableParagraph"/>
              <w:widowControl w:val="fals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themeFill="background1" w:themeFillShade="f2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semiHidden="0" w:qFormat="1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1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Nagwek1">
    <w:name w:val="Heading 1"/>
    <w:basedOn w:val="Normal"/>
    <w:next w:val="Normal"/>
    <w:link w:val="Nagwek1Znak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val="376092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pPr>
      <w:keepNext w:val="true"/>
      <w:keepLines/>
      <w:numPr>
        <w:ilvl w:val="0"/>
        <w:numId w:val="1"/>
      </w:numPr>
      <w:shd w:val="clear" w:color="auto" w:fill="ECF1F8"/>
      <w:spacing w:before="40" w:after="0"/>
      <w:ind w:right="547" w:hanging="0"/>
      <w:outlineLvl w:val="1"/>
    </w:pPr>
    <w:rPr>
      <w:rFonts w:ascii="Calibri" w:hAnsi="Calibri" w:eastAsia="宋体" w:cs="Calibri" w:asciiTheme="minorHAnsi" w:cstheme="minorHAnsi" w:eastAsiaTheme="majorEastAsia" w:hAnsiTheme="minorHAnsi"/>
      <w:b/>
      <w:bCs/>
      <w:sz w:val="20"/>
      <w:szCs w:val="20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pPr>
      <w:keepNext w:val="true"/>
      <w:keepLines/>
      <w:spacing w:before="40" w:after="0"/>
      <w:outlineLvl w:val="2"/>
    </w:pPr>
    <w:rPr>
      <w:rFonts w:ascii="Cambria" w:hAnsi="Cambria" w:eastAsia="宋体" w:cs="" w:asciiTheme="majorHAnsi" w:cstheme="majorBidi" w:eastAsiaTheme="majorEastAsia" w:hAnsiTheme="majorHAnsi"/>
      <w:color w:val="254061" w:themeColor="accent1" w:themeShade="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Nagwek1Znak" w:customStyle="1">
    <w:name w:val="Nagłówek 1 Znak"/>
    <w:basedOn w:val="DefaultParagraphFont"/>
    <w:uiPriority w:val="9"/>
    <w:qFormat/>
    <w:rPr>
      <w:rFonts w:ascii="Cambria" w:hAnsi="Cambria" w:eastAsia="宋体" w:cs="" w:asciiTheme="majorHAnsi" w:cstheme="majorBidi" w:eastAsiaTheme="majorEastAsia" w:hAnsiTheme="majorHAnsi"/>
      <w:color w:val="376092" w:themeColor="accent1" w:themeShade="bf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Pr>
      <w:rFonts w:eastAsia="宋体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Pr>
      <w:rFonts w:ascii="Cambria" w:hAnsi="Cambria" w:eastAsia="宋体" w:cs="" w:asciiTheme="majorHAnsi" w:cstheme="majorBidi" w:eastAsiaTheme="majorEastAsia" w:hAnsiTheme="majorHAnsi"/>
      <w:color w:val="254061" w:themeColor="accent1" w:themeShade="8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uiPriority w:val="0"/>
    <w:qFormat/>
    <w:rPr>
      <w:rFonts w:ascii="Calibri" w:hAnsi="Calibri" w:eastAsia="宋体" w:cs="" w:cstheme="majorBidi" w:eastAsiaTheme="majorEastAsia"/>
      <w:i/>
      <w:color w:val="254061" w:themeColor="accent1" w:themeShade="80"/>
      <w:sz w:val="24"/>
      <w:szCs w:val="24"/>
      <w:lang w:val="pl-PL" w:eastAsia="pl-PL" w:bidi="pl-PL"/>
    </w:rPr>
  </w:style>
  <w:style w:type="character" w:styleId="Bodytext2" w:customStyle="1">
    <w:name w:val="Body text (2)_"/>
    <w:link w:val="Bodytext21"/>
    <w:uiPriority w:val="0"/>
    <w:qFormat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Normaltextrun" w:customStyle="1">
    <w:name w:val="normaltextrun"/>
    <w:basedOn w:val="DefaultParagraphFont"/>
    <w:uiPriority w:val="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kstkomentarzaZnak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pPr>
      <w:ind w:left="966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1" w:customStyle="1">
    <w:name w:val="Styl1"/>
    <w:basedOn w:val="Nagwek3"/>
    <w:link w:val="Styl1Znak"/>
    <w:uiPriority w:val="0"/>
    <w:qFormat/>
    <w:pPr/>
    <w:rPr>
      <w:rFonts w:ascii="Calibri" w:hAnsi="Calibri"/>
      <w:i/>
      <w:color w:val="auto"/>
    </w:rPr>
  </w:style>
  <w:style w:type="paragraph" w:styleId="Bodytext21" w:customStyle="1">
    <w:name w:val="Body text (2)"/>
    <w:basedOn w:val="Normal"/>
    <w:link w:val="Bodytext2"/>
    <w:uiPriority w:val="0"/>
    <w:qFormat/>
    <w:pPr>
      <w:widowControl/>
      <w:shd w:val="clear" w:color="auto" w:fill="FFFFFF"/>
      <w:spacing w:lineRule="exact" w:line="326"/>
      <w:ind w:hanging="200"/>
      <w:jc w:val="right"/>
    </w:pPr>
    <w:rPr>
      <w:sz w:val="19"/>
      <w:szCs w:val="19"/>
      <w:lang w:val="en-US" w:eastAsia="en-US" w:bidi="ar-SA"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6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EE46-E672-46A6-8268-26A038961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LibreOffice/7.5.2.2$Windows_X86_64 LibreOffice_project/53bb9681a964705cf672590721dbc85eb4d0c3a2</Application>
  <AppVersion>15.0000</AppVersion>
  <Pages>3</Pages>
  <Words>729</Words>
  <Characters>4939</Characters>
  <CharactersWithSpaces>5502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2026-05-06T07:03:00Z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2026-06-14T09:09:19Z</dcterms:modified>
  <cp:revision>13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ICV">
    <vt:lpwstr>BC6EF48BD18A41BFB9CD0AF971E2868A_13</vt:lpwstr>
  </property>
  <property fmtid="{D5CDD505-2E9C-101B-9397-08002B2CF9AE}" pid="5" name="KSOProductBuildVer">
    <vt:lpwstr>1045-12.1.0.26880</vt:lpwstr>
  </property>
  <property fmtid="{D5CDD505-2E9C-101B-9397-08002B2CF9AE}" pid="6" name="KSOTemplateDocerSaveRecord">
    <vt:lpwstr>eyJoZGlkIjoiOGI4NjI5OTBmMDM1ODFlMDkzNDFlZTFiMWNhZWU5ZTMiLCJ1c2VySWQiOiIzMDQxMzM4MDAyNjk5In0=</vt:lpwstr>
  </property>
  <property fmtid="{D5CDD505-2E9C-101B-9397-08002B2CF9AE}" pid="7" name="LastSaved">
    <vt:filetime>2025-01-08T00:00:00Z</vt:filetime>
  </property>
</Properties>
</file>