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2322">
      <w:pPr>
        <w:pStyle w:val="1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5335AE2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A7ED170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0C22811A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Kod przedmiotu (zajęć): 0113.1.PSP.D4.KPWPEIW</w:t>
      </w:r>
    </w:p>
    <w:p w14:paraId="0063BBDF">
      <w:pPr>
        <w:pStyle w:val="4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języku polskim: Konstruowanie programów wychowawczo-profilaktycznych w edukacji integracyjnej i włączającej</w:t>
      </w:r>
    </w:p>
    <w:p w14:paraId="0DE4126E">
      <w:pPr>
        <w:pStyle w:val="4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6565103">
      <w:pPr>
        <w:pStyle w:val="22"/>
        <w:spacing w:line="276" w:lineRule="auto"/>
        <w:ind w:firstLine="426"/>
        <w:rPr>
          <w:i w:val="0"/>
          <w:i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/>
          <w:color w:val="000000" w:themeColor="text1"/>
          <w:lang w:val="en-US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rFonts w:ascii="Times New Roman" w:hAnsi="Times New Roman" w:eastAsia="Times New Roman" w:cs="Times New Roman"/>
          <w:b/>
          <w:bCs/>
          <w:i w:val="0"/>
          <w:lang w:val="en-US" w:bidi="ar-SA"/>
        </w:rPr>
        <w:t xml:space="preserve"> </w:t>
      </w:r>
      <w:r>
        <w:rPr>
          <w:b/>
          <w:bCs/>
          <w:i w:val="0"/>
          <w:iCs/>
          <w:color w:val="000000" w:themeColor="text1"/>
          <w:lang w:val="en-US"/>
          <w14:textFill>
            <w14:solidFill>
              <w14:schemeClr w14:val="tx1"/>
            </w14:solidFill>
          </w14:textFill>
        </w:rPr>
        <w:t>Pedagogical and Prophylactic Syllabuses Design in Integrative and Inclusive Education</w:t>
      </w:r>
    </w:p>
    <w:p w14:paraId="2270777D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748A5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  <w:jc w:val="center"/>
        </w:trPr>
        <w:tc>
          <w:tcPr>
            <w:tcW w:w="4742" w:type="dxa"/>
          </w:tcPr>
          <w:p w14:paraId="75DF3021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</w:tcPr>
          <w:p w14:paraId="2F7E5551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Pedagogika specjalna</w:t>
            </w:r>
          </w:p>
        </w:tc>
      </w:tr>
      <w:tr w14:paraId="64E69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486B320A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</w:tcPr>
          <w:p w14:paraId="6C0BE215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Stacjonarne i niestacjonarne</w:t>
            </w:r>
          </w:p>
        </w:tc>
      </w:tr>
      <w:tr w14:paraId="1D622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72FB0989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</w:tcPr>
          <w:p w14:paraId="68E57B8D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Jednolite magisterskie</w:t>
            </w:r>
          </w:p>
        </w:tc>
      </w:tr>
      <w:tr w14:paraId="11E40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14ADABF7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</w:tcPr>
          <w:p w14:paraId="6965B2DB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Ogólnoakademicki </w:t>
            </w:r>
          </w:p>
        </w:tc>
      </w:tr>
      <w:tr w14:paraId="12AD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1F5B79D7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</w:tcPr>
          <w:p w14:paraId="4BD33920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dr Agata Borowska</w:t>
            </w:r>
          </w:p>
        </w:tc>
      </w:tr>
      <w:tr w14:paraId="41479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7049B26A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</w:tcPr>
          <w:p w14:paraId="05DC708C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agata.borowska@ujk.edu.pl</w:t>
            </w:r>
          </w:p>
        </w:tc>
      </w:tr>
    </w:tbl>
    <w:p w14:paraId="0736C73F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0A1EB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031A9095">
            <w:pPr>
              <w:pStyle w:val="15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458BD1E7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polski</w:t>
            </w:r>
          </w:p>
        </w:tc>
      </w:tr>
      <w:tr w14:paraId="60EAB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4C4F44FA">
            <w:pPr>
              <w:pStyle w:val="15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4582ABA9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Pedagogika ogólna</w:t>
            </w:r>
          </w:p>
        </w:tc>
      </w:tr>
    </w:tbl>
    <w:p w14:paraId="047BBE92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13F38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2A275B2C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3EBAEAB">
            <w:pPr>
              <w:pStyle w:val="15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14:paraId="56EE7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77986472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</w:tcPr>
          <w:p w14:paraId="5B986831">
            <w:pPr>
              <w:pStyle w:val="15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Pomieszczenia dydaktyczne UJK</w:t>
            </w:r>
          </w:p>
        </w:tc>
      </w:tr>
      <w:tr w14:paraId="0E6BE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73BE6AAB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</w:tcPr>
          <w:p w14:paraId="7E32C8CB">
            <w:pPr>
              <w:pStyle w:val="15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Zaliczenie z oceną</w:t>
            </w:r>
          </w:p>
        </w:tc>
      </w:tr>
      <w:tr w14:paraId="13EEF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3D23B0D3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</w:tcPr>
          <w:p w14:paraId="6A2891B5">
            <w:pPr>
              <w:pStyle w:val="15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Prezentacja multimedialna, praca w grupie, dyskusja dydaktyczna</w:t>
            </w:r>
            <w:r>
              <w:rPr>
                <w:rFonts w:hint="default" w:ascii="Calibri" w:hAnsi="Calibri" w:cs="Calibri"/>
                <w:sz w:val="21"/>
                <w:szCs w:val="21"/>
                <w:lang w:val="pl-PL"/>
              </w:rPr>
              <w:t>,</w:t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gry dydaktyczne, mindmapping, lotus blossom techniqe, role-playing, szybkie quizy i głosowania (narzędzia mult.Kahoot, Mentimeter), burza mózgów, debata oksfordzka, debata ,,krakoska”, dyskusje problemowe, film eduk., krótkie filmy instruktażowo-tematyczne </w:t>
            </w:r>
          </w:p>
        </w:tc>
      </w:tr>
      <w:tr w14:paraId="7E13A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2C42C848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</w:tcPr>
          <w:p w14:paraId="5FDC9852">
            <w:pPr>
              <w:pStyle w:val="15"/>
              <w:spacing w:line="276" w:lineRule="auto"/>
              <w:ind w:right="183"/>
              <w:jc w:val="both"/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  <w:t>Borowik, J., (2018).</w:t>
            </w:r>
            <w:r>
              <w:rPr>
                <w:rFonts w:hint="default" w:ascii="Calibri" w:hAnsi="Calibri" w:cs="Calibri"/>
                <w:i/>
                <w:color w:val="auto"/>
                <w:sz w:val="21"/>
                <w:szCs w:val="21"/>
              </w:rPr>
              <w:t xml:space="preserve"> Działania wychowawczo-profilaktyczne a diagnoza potrzeb środowiska szkolnego.</w:t>
            </w: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  <w:t xml:space="preserve"> Ośrodek Rozwoju Edukacji.</w:t>
            </w:r>
          </w:p>
          <w:p w14:paraId="39C16412">
            <w:pPr>
              <w:pStyle w:val="15"/>
              <w:spacing w:line="276" w:lineRule="auto"/>
              <w:ind w:right="183"/>
              <w:jc w:val="both"/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  <w:t xml:space="preserve">Baryła-Matejczuk, M. ( 2010).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1"/>
                <w:szCs w:val="21"/>
              </w:rPr>
              <w:t xml:space="preserve">Konstruowanie szkolnego programu profilaktyki aktualnym zadaniem szkoły. </w:t>
            </w: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  <w:t xml:space="preserve"> </w:t>
            </w:r>
          </w:p>
          <w:p w14:paraId="32B5727F">
            <w:pPr>
              <w:pStyle w:val="15"/>
              <w:spacing w:line="276" w:lineRule="auto"/>
              <w:ind w:right="183"/>
              <w:jc w:val="both"/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  <w:t xml:space="preserve">Gaś, Z. B., Poleszak, W. (2017). </w:t>
            </w:r>
            <w:r>
              <w:rPr>
                <w:rFonts w:hint="default" w:ascii="Calibri" w:hAnsi="Calibri" w:cs="Calibri"/>
                <w:i/>
                <w:color w:val="auto"/>
                <w:sz w:val="21"/>
                <w:szCs w:val="21"/>
              </w:rPr>
              <w:t>Opracowujemy i ewaluujemy program wychowawczo-profilaktyczny szkoły.</w:t>
            </w: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  <w:t xml:space="preserve"> Ośrodek Rozwoju Edukacji.</w:t>
            </w:r>
          </w:p>
          <w:p w14:paraId="6DD4E3A5">
            <w:pPr>
              <w:pStyle w:val="15"/>
              <w:spacing w:line="276" w:lineRule="auto"/>
              <w:ind w:right="183"/>
              <w:jc w:val="both"/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  <w:t xml:space="preserve">Szymańska, J. (2015). </w:t>
            </w:r>
            <w:r>
              <w:rPr>
                <w:rFonts w:hint="default" w:ascii="Calibri" w:hAnsi="Calibri" w:cs="Calibri"/>
                <w:i/>
                <w:color w:val="auto"/>
                <w:sz w:val="21"/>
                <w:szCs w:val="21"/>
              </w:rPr>
              <w:t>Programy profilaktyczne. Podstawy profesjonalnej profilaktyki.</w:t>
            </w: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</w:rPr>
              <w:t xml:space="preserve"> Ośrodek Rozwoju Edukacji.</w:t>
            </w:r>
          </w:p>
          <w:p w14:paraId="1252F93B">
            <w:pPr>
              <w:pStyle w:val="15"/>
              <w:spacing w:line="276" w:lineRule="auto"/>
              <w:ind w:right="183"/>
              <w:jc w:val="both"/>
              <w:rPr>
                <w:rFonts w:hint="default" w:ascii="Calibri" w:hAnsi="Calibri" w:eastAsia="SimSun" w:cs="Calibri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Calibri" w:hAnsi="Calibri" w:eastAsia="SimSun" w:cs="Calibri"/>
                <w:color w:val="auto"/>
                <w:sz w:val="21"/>
                <w:szCs w:val="21"/>
                <w:shd w:val="clear" w:color="auto" w:fill="FFFFFF"/>
              </w:rPr>
              <w:t>Kowalski, M., &amp; Radziwołek, M. (2023). Możliwość współczesnej profilaktyki szkolnej. </w:t>
            </w:r>
            <w:r>
              <w:rPr>
                <w:rFonts w:hint="default" w:ascii="Calibri" w:hAnsi="Calibri" w:eastAsia="SimSun" w:cs="Calibri"/>
                <w:i/>
                <w:iCs/>
                <w:color w:val="auto"/>
                <w:sz w:val="21"/>
                <w:szCs w:val="21"/>
                <w:shd w:val="clear" w:color="auto" w:fill="FFFFFF"/>
              </w:rPr>
              <w:t>Rocznik Lubuski</w:t>
            </w:r>
            <w:r>
              <w:rPr>
                <w:rFonts w:hint="default" w:ascii="Calibri" w:hAnsi="Calibri" w:eastAsia="SimSun" w:cs="Calibri"/>
                <w:color w:val="auto"/>
                <w:sz w:val="21"/>
                <w:szCs w:val="21"/>
                <w:shd w:val="clear" w:color="auto" w:fill="FFFFFF"/>
              </w:rPr>
              <w:t>, </w:t>
            </w:r>
            <w:r>
              <w:rPr>
                <w:rFonts w:hint="default" w:ascii="Calibri" w:hAnsi="Calibri" w:eastAsia="SimSun" w:cs="Calibri"/>
                <w:i/>
                <w:iCs/>
                <w:color w:val="auto"/>
                <w:sz w:val="21"/>
                <w:szCs w:val="21"/>
                <w:shd w:val="clear" w:color="auto" w:fill="FFFFFF"/>
              </w:rPr>
              <w:t>49</w:t>
            </w:r>
            <w:r>
              <w:rPr>
                <w:rFonts w:hint="default" w:ascii="Calibri" w:hAnsi="Calibri" w:eastAsia="SimSun" w:cs="Calibri"/>
                <w:color w:val="auto"/>
                <w:sz w:val="21"/>
                <w:szCs w:val="21"/>
                <w:shd w:val="clear" w:color="auto" w:fill="FFFFFF"/>
              </w:rPr>
              <w:t>(1), 201-213.</w:t>
            </w:r>
          </w:p>
          <w:p w14:paraId="6FB69906">
            <w:pPr>
              <w:pStyle w:val="15"/>
              <w:spacing w:line="276" w:lineRule="auto"/>
              <w:ind w:right="183"/>
              <w:jc w:val="both"/>
              <w:rPr>
                <w:rFonts w:hint="default" w:ascii="Calibri" w:hAnsi="Calibri" w:eastAsia="SimSun" w:cs="Calibri"/>
                <w:color w:val="auto"/>
                <w:sz w:val="21"/>
                <w:szCs w:val="21"/>
                <w:shd w:val="clear" w:color="auto" w:fill="FFFFFF"/>
                <w:lang w:val="pl-PL"/>
              </w:rPr>
            </w:pPr>
            <w:r>
              <w:rPr>
                <w:rFonts w:hint="default" w:ascii="Calibri" w:hAnsi="Calibri" w:eastAsia="SimSun" w:cs="Calibri"/>
                <w:color w:val="auto"/>
                <w:sz w:val="21"/>
                <w:szCs w:val="21"/>
                <w:shd w:val="clear" w:color="auto" w:fill="FFFFFF"/>
                <w:lang w:val="pl-PL"/>
              </w:rPr>
              <w:t>Aktualne akty prawne.</w:t>
            </w:r>
          </w:p>
        </w:tc>
      </w:tr>
      <w:tr w14:paraId="24996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70522104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</w:tcPr>
          <w:p w14:paraId="23641126">
            <w:pPr>
              <w:pStyle w:val="15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 xml:space="preserve">Całek, G. (2021). Szkolne programy wychowawczo-profilaktyczne – idea a rzeczywistość. </w:t>
            </w:r>
            <w:r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Resocjalizacja Polska, 22, 451–464. https://doi.org/10.22432/rp.411.</w:t>
            </w:r>
          </w:p>
          <w:p w14:paraId="6AB59DC2">
            <w:pPr>
              <w:pStyle w:val="15"/>
              <w:spacing w:line="276" w:lineRule="auto"/>
              <w:ind w:right="183"/>
              <w:jc w:val="both"/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  <w:t>Chrabąszcz, M. (2022). Profilaktyka uzależnień w szkole w aspekcie prawnym. </w:t>
            </w:r>
            <w:r>
              <w:rPr>
                <w:rFonts w:ascii="Arial" w:hAnsi="Arial" w:eastAsia="SimSun" w:cs="Arial"/>
                <w:i/>
                <w:iCs/>
                <w:color w:val="auto"/>
                <w:sz w:val="19"/>
                <w:szCs w:val="19"/>
                <w:shd w:val="clear" w:color="auto" w:fill="FFFFFF"/>
              </w:rPr>
              <w:t>Humanities and Cultural Studies</w:t>
            </w: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  <w:t>, </w:t>
            </w:r>
            <w:r>
              <w:rPr>
                <w:rFonts w:ascii="Arial" w:hAnsi="Arial" w:eastAsia="SimSun" w:cs="Arial"/>
                <w:i/>
                <w:iCs/>
                <w:color w:val="auto"/>
                <w:sz w:val="19"/>
                <w:szCs w:val="19"/>
                <w:shd w:val="clear" w:color="auto" w:fill="FFFFFF"/>
              </w:rPr>
              <w:t>3</w:t>
            </w: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  <w:t>(2), 9-26.</w:t>
            </w:r>
          </w:p>
          <w:p w14:paraId="3EF591B2">
            <w:pPr>
              <w:pStyle w:val="15"/>
              <w:spacing w:line="276" w:lineRule="auto"/>
              <w:ind w:right="183"/>
              <w:jc w:val="both"/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  <w:lang w:val="en-US"/>
              </w:rPr>
            </w:pP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  <w:t>Dobijański, M. (2025). Wsparcie profilaktyczne szkół i placówek w zapobieganiu niedostosowaniu społecznemu dzieci i młodzieży w ujęciu ekologicznym Uriego Bronfenbrennera. </w:t>
            </w:r>
            <w:r>
              <w:rPr>
                <w:rFonts w:ascii="Arial" w:hAnsi="Arial" w:eastAsia="SimSun" w:cs="Arial"/>
                <w:i/>
                <w:iCs/>
                <w:color w:val="auto"/>
                <w:sz w:val="19"/>
                <w:szCs w:val="19"/>
                <w:shd w:val="clear" w:color="auto" w:fill="FFFFFF"/>
                <w:lang w:val="en-US"/>
              </w:rPr>
              <w:t>Polish Journal of Social Rehabilitation/Resocjalizacja Polska</w:t>
            </w: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  <w:lang w:val="en-US"/>
              </w:rPr>
              <w:t>, (30), 174.</w:t>
            </w:r>
          </w:p>
          <w:p w14:paraId="21CCA155">
            <w:pPr>
              <w:pStyle w:val="15"/>
              <w:spacing w:line="276" w:lineRule="auto"/>
              <w:ind w:right="183"/>
              <w:jc w:val="both"/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  <w:lang w:val="en-US"/>
              </w:rPr>
              <w:t xml:space="preserve">Halista-Telus, E. (2023). </w:t>
            </w: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  <w:t>Mediacje rówieśnicze w profilaktyce cyberbullyingu. In </w:t>
            </w:r>
            <w:r>
              <w:rPr>
                <w:rFonts w:ascii="Arial" w:hAnsi="Arial" w:eastAsia="SimSun" w:cs="Arial"/>
                <w:i/>
                <w:iCs/>
                <w:color w:val="auto"/>
                <w:sz w:val="19"/>
                <w:szCs w:val="19"/>
                <w:shd w:val="clear" w:color="auto" w:fill="FFFFFF"/>
              </w:rPr>
              <w:t>Parezja. Forum Młodych Pedagogów Przy Komitecie Nauk Pedagogicznych PAN</w:t>
            </w: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  <w:t> (Vol. 19, No. 1, pp. 44-56). Wydawnictwo Uniwersytetu w Białymstoku.</w:t>
            </w:r>
          </w:p>
          <w:p w14:paraId="7B4FF62D">
            <w:pPr>
              <w:pStyle w:val="15"/>
              <w:spacing w:line="276" w:lineRule="auto"/>
              <w:ind w:right="183"/>
              <w:jc w:val="both"/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  <w:t xml:space="preserve">Makaruk, K., Włodarczyk, J., Szredzińska, R. (2020). </w:t>
            </w:r>
            <w:r>
              <w:rPr>
                <w:rFonts w:ascii="Arial" w:hAnsi="Arial" w:eastAsia="SimSun" w:cs="Arial"/>
                <w:i/>
                <w:iCs/>
                <w:color w:val="auto"/>
                <w:sz w:val="19"/>
                <w:szCs w:val="19"/>
                <w:shd w:val="clear" w:color="auto" w:fill="FFFFFF"/>
              </w:rPr>
              <w:t>Negatywne doświadczenia młodzieży w czasie pandemii. Raport z badań ilościowych.</w:t>
            </w:r>
            <w:r>
              <w:rPr>
                <w:rFonts w:ascii="Arial" w:hAnsi="Arial" w:eastAsia="SimSun" w:cs="Arial"/>
                <w:color w:val="auto"/>
                <w:sz w:val="19"/>
                <w:szCs w:val="19"/>
                <w:shd w:val="clear" w:color="auto" w:fill="FFFFFF"/>
              </w:rPr>
              <w:t xml:space="preserve"> Fundacja Dajemy Dzieciom Siłę.</w:t>
            </w:r>
          </w:p>
          <w:p w14:paraId="706A6849">
            <w:pPr>
              <w:pStyle w:val="15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Aktualne akty prawne.</w:t>
            </w:r>
          </w:p>
        </w:tc>
      </w:tr>
    </w:tbl>
    <w:p w14:paraId="3A56C48F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34469D59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 w14:paraId="5E0571EF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C1.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zapoznanie studentów z t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eoretycznymi  koncepcjami stylów i postaw wychowawczych w przedszkolu i szkole ( postawy nauczycieli, dzieci i uczniów).</w:t>
      </w:r>
    </w:p>
    <w:p w14:paraId="5581C9D1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C2.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zapoznanie studentów z zadaniami  wynikającymi z  realizacją przyjętego w placówce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programu wychowawczo-profilaktycznego </w:t>
      </w:r>
    </w:p>
    <w:p w14:paraId="0EE0DD77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C3. przygotowanie studentów do realizacji zadań wychowawczo-profilaktycznych  w placówce oświatowej </w:t>
      </w:r>
    </w:p>
    <w:p w14:paraId="2F159513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C4.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uwrażliwienie studentów na potrzeby uczniów, w tym relacje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 grupach rówieśniczych</w:t>
      </w:r>
    </w:p>
    <w:p w14:paraId="39E310E3">
      <w:pPr>
        <w:pStyle w:val="15"/>
        <w:spacing w:line="276" w:lineRule="auto"/>
        <w:ind w:left="993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6EB75C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5BA31D17">
      <w:pPr>
        <w:pStyle w:val="15"/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Ćwiczenia:</w:t>
      </w:r>
    </w:p>
    <w:p w14:paraId="3E006D78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Zapoznanie z kartą przedmiotu i warunkami zaliczenia. Z</w:t>
      </w: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ałożenia teoretyczne oraz klasyfikacje szkolnych  programów  wychowawczo-profilaktycznych.</w:t>
      </w:r>
    </w:p>
    <w:p w14:paraId="1549BD98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Zasady konstruowania programów profilaktycznych według Z.B. Gasia i G. Świątkiewicz.</w:t>
      </w:r>
    </w:p>
    <w:p w14:paraId="7DD96692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Przegląd i analiza szkolnych i przedszkolnych programów wychowawczo-profilaktycznych z uwzględnieniem stylów i postaw wychowawczych w przedszkolu i szkole, w tym postaw nauczycieli, dzieci i uczniów.</w:t>
      </w:r>
    </w:p>
    <w:p w14:paraId="067C2412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Zagadnienia przymusu, swobody w wychowaniu i wychowania adaptacyjnego i emancypacyjnego. </w:t>
      </w:r>
    </w:p>
    <w:p w14:paraId="46F9570A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Konstruowanie szkolnego programu wychowawczo -profilaktycznego - znaczenie diagnozy (opracowanie strategii  badań, ich realizacja i wykorzystanie wyników uzyskanych ). Realizacja przyjętych celów zasoby i ograniczenia.   </w:t>
      </w:r>
    </w:p>
    <w:p w14:paraId="38F27C06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Aspekty prawne konstruowania programów wychowawczo-profilaktycznych- prawo oświatowe, statuty i inne wewnętrze  dokumenty regulujące  realizacje zadań placówki.  </w:t>
      </w:r>
    </w:p>
    <w:p w14:paraId="41D3E15E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Poznanie strategii postępowania wychowawczo - profilaktycznego na różnych szczeblach w środowisku lokalnym - rozwijania zainteresowań i aktywizowania środowiska lokalnego.</w:t>
      </w:r>
    </w:p>
    <w:p w14:paraId="2A10DCCF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Zastosowanie podejścia systemowego w profilaktyce w zaplanowanych w  programie wychowawczo -profilaktycznym zadaniach  i działaniach profilaktycznych - kształtowanie współpracy, grupowego rozwiązywania problemów i kształtowania kompetencji komunikacyjnych. </w:t>
      </w:r>
    </w:p>
    <w:p w14:paraId="3B3CFCF8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Proces wdrożenia – planowanie nowych rozwiązań organizacyjnych w szkole w aspekcie kształtowania </w:t>
      </w: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postaw wobec dzieci i uczniów z niepełnosprawnościami i relacji w grupach rówieśniczych.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8C375EF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Monitorowanie i ewaluacja programu wychowawczo-profilaktycznego na poziomie przedszkola/ szkoły.</w:t>
      </w:r>
    </w:p>
    <w:p w14:paraId="41FFFAA1">
      <w:pPr>
        <w:pStyle w:val="15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Kolokwium zaliczeniowe. </w:t>
      </w:r>
    </w:p>
    <w:p w14:paraId="1748EF16">
      <w:pPr>
        <w:pStyle w:val="15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BD006D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27ECD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45555A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65C4C86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732B8E8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152757D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7A916AC8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0FF66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53" w:type="dxa"/>
            <w:shd w:val="clear" w:color="auto" w:fill="ECF1F8"/>
          </w:tcPr>
          <w:p w14:paraId="6DF735A0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W01</w:t>
            </w:r>
          </w:p>
          <w:p w14:paraId="449D2D62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D.4.W1.</w:t>
            </w:r>
          </w:p>
          <w:p w14:paraId="4A9194A1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D.4.W4.</w:t>
            </w:r>
          </w:p>
          <w:p w14:paraId="459CEB95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D.4.W7.</w:t>
            </w:r>
          </w:p>
          <w:p w14:paraId="5FC36EF9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D.4.W8.</w:t>
            </w:r>
          </w:p>
          <w:p w14:paraId="75FC0C80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D.4.W13.</w:t>
            </w:r>
          </w:p>
        </w:tc>
        <w:tc>
          <w:tcPr>
            <w:tcW w:w="6830" w:type="dxa"/>
          </w:tcPr>
          <w:p w14:paraId="0B231755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Zna i rozumie główne koncepcje w edukacji, wychowaniu i profilaktyce z uwzględnieniem potrzeb i możliwości  dzieci/uczniów ze zróżnicowanymi potrzebami edukacyjnymi oraz złożoność uwarunkowania tych procesów;</w:t>
            </w:r>
          </w:p>
          <w:p w14:paraId="23EDB305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Zna i rozumie pojęcia wychowania i rozwoju: funkcje wychowania, style wychowania, zagadnienia przymusu i swobody w wychowaniu, wychowania adaptacyjnego i emancypacyjnego; zagadnienie wychowania w kontekście manipulacji; problematykę podmiotowości w wychowaniu; a także istotę programu wychowawczego szkoły.</w:t>
            </w:r>
          </w:p>
          <w:p w14:paraId="41A5AEC1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Zna i rozumie pojęcia stylów i postaw wychowawczych w przedszkolu i szkole, postaw nauczycieli, dzieci i uczniów.</w:t>
            </w:r>
          </w:p>
          <w:p w14:paraId="370E1C99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Zna i rozumie cechy środowiska kształcenia i wychowania oraz miejsce przedszkola i szkoły jako instytucji wychowawczej.</w:t>
            </w:r>
          </w:p>
          <w:p w14:paraId="0B238E3E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Zna i rozumie metodykę wykorzystywania konstruowanych programów wychowawczych, ich założenia teoretyczne oraz klasyfikacje programów kształtowania postaw wobec dzieci i uczniów z niepełnosprawnościami i relacji w grupach rówieśniczych.</w:t>
            </w:r>
          </w:p>
        </w:tc>
        <w:tc>
          <w:tcPr>
            <w:tcW w:w="1773" w:type="dxa"/>
          </w:tcPr>
          <w:p w14:paraId="0CA0978A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PSPEC_W05</w:t>
            </w:r>
          </w:p>
        </w:tc>
      </w:tr>
    </w:tbl>
    <w:p w14:paraId="4C371FCC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57FC1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44" w:type="dxa"/>
            <w:shd w:val="clear" w:color="auto" w:fill="ECF1F8"/>
          </w:tcPr>
          <w:p w14:paraId="5B5BE751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U01</w:t>
            </w:r>
          </w:p>
          <w:p w14:paraId="0BFC0690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D.4.U9.</w:t>
            </w:r>
          </w:p>
          <w:p w14:paraId="14D240CB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1" w:type="dxa"/>
          </w:tcPr>
          <w:p w14:paraId="73548192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Potrafi rozpoznawać i interpretować zjawiska społeczne, wykorzystując min. Wyniki diagnozy różnych odbiorców programu  wychowawczo -profilaktycznego.</w:t>
            </w:r>
          </w:p>
          <w:p w14:paraId="59D8BC38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Potrafi ocenić  efektywność  programów  rozwijających  kompetencje  społeczno-emocjonalne dzieci i uczniów z niepełnosprawnościami.</w:t>
            </w:r>
          </w:p>
          <w:p w14:paraId="6EAB3AB3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</w:tcPr>
          <w:p w14:paraId="6D17723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PSPEC_U02  </w:t>
            </w:r>
          </w:p>
          <w:p w14:paraId="23703A27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5B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44" w:type="dxa"/>
            <w:shd w:val="clear" w:color="auto" w:fill="ECF1F8"/>
          </w:tcPr>
          <w:p w14:paraId="0C781B4D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U02</w:t>
            </w:r>
          </w:p>
          <w:p w14:paraId="28E0F1CF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D.4.U8.</w:t>
            </w:r>
          </w:p>
          <w:p w14:paraId="1AFAADDE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D.4.U10.</w:t>
            </w:r>
          </w:p>
        </w:tc>
        <w:tc>
          <w:tcPr>
            <w:tcW w:w="6821" w:type="dxa"/>
          </w:tcPr>
          <w:p w14:paraId="7DEC61B0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Przygotowuje wdrożenie  konkretnego  programu wychowawczo -profilaktycznego intensyfikując integrację rówieśniczą uczniów ze zróżnicowanymi potrzebami edukacyjnymi.</w:t>
            </w:r>
          </w:p>
          <w:p w14:paraId="4A201A06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Potrafi tworzyć  programy  kształtujące  kompetencje  społeczno-emocjonalne  dzieci i uczniów z niepełnosprawnościami i stosować te programy w grupach przedszkolnych i klasach włączających.</w:t>
            </w:r>
          </w:p>
          <w:p w14:paraId="076CC94D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Potrafi budować  programy  kształtowania  postaw  wobec  dzieci  i  uczniów</w:t>
            </w:r>
          </w:p>
          <w:p w14:paraId="09142FCB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z niepełnosprawnościami i relacji rówieśniczych w grupach integracyjnych.</w:t>
            </w:r>
          </w:p>
        </w:tc>
        <w:tc>
          <w:tcPr>
            <w:tcW w:w="1773" w:type="dxa"/>
          </w:tcPr>
          <w:p w14:paraId="383E52C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PSPEC_U08  </w:t>
            </w:r>
          </w:p>
          <w:p w14:paraId="35E893B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F75CC0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0D349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53" w:type="dxa"/>
            <w:shd w:val="clear" w:color="auto" w:fill="ECF1F8"/>
          </w:tcPr>
          <w:p w14:paraId="333DDC90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  <w:p w14:paraId="3F0E81E1">
            <w:pPr>
              <w:pStyle w:val="15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D.4.K1.</w:t>
            </w:r>
          </w:p>
        </w:tc>
        <w:tc>
          <w:tcPr>
            <w:tcW w:w="6830" w:type="dxa"/>
          </w:tcPr>
          <w:p w14:paraId="058DF95A">
            <w:pPr>
              <w:pStyle w:val="15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Jest gotów do promowania działań ujętych w  programie  wychowawczo -profilaktycznym  w celu poprawy jakości funkcjonowania przedszkola, szkoły lub placówki systemu oświaty oraz </w:t>
            </w:r>
            <w:r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przyjęcia odpowiedzialności za podejmowane decyzje związane z organizacją procesu edukacyjno-terapeutycznego w przedszkolu i grupie przedszkolnej lub w szkole i klasie szkolnej.</w:t>
            </w:r>
          </w:p>
        </w:tc>
        <w:tc>
          <w:tcPr>
            <w:tcW w:w="1773" w:type="dxa"/>
          </w:tcPr>
          <w:p w14:paraId="0F496F4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PSPEC_K06</w:t>
            </w:r>
          </w:p>
        </w:tc>
      </w:tr>
    </w:tbl>
    <w:p w14:paraId="46035CD7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5475D2EB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2"/>
        <w:tblW w:w="6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8"/>
        <w:gridCol w:w="1228"/>
        <w:gridCol w:w="1228"/>
        <w:gridCol w:w="1228"/>
      </w:tblGrid>
      <w:tr w14:paraId="05AA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43D4112">
            <w:pPr>
              <w:pStyle w:val="15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7CF2EBBE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Kolokwium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2C5212BC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110D9911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 własna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5F04B253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3F28B5B1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</w:t>
            </w:r>
          </w:p>
        </w:tc>
      </w:tr>
    </w:tbl>
    <w:p w14:paraId="3D15E150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2"/>
        <w:tblW w:w="6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14:paraId="4D78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1300DC16">
            <w:pPr>
              <w:pStyle w:val="15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46487772">
            <w:pPr>
              <w:pStyle w:val="15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923775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ABB48EA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91CB6D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73DFEBC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5D59F2C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02BE2B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</w:tcPr>
          <w:p w14:paraId="08C52D7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194D9717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5B66494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0DFB64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79355B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4B97E8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 w14:paraId="0335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2099A6F7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W01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FFFF13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221C3FA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CC20A7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361973A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3172FF9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212DDBE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75BBE37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1A023B8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17BFBFE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163AA37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107440B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4775F8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D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115906AD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U01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004E11C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0060EFF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0CF62447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1A9085C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68F3C7D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3B78A3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692BDED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6C91902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2637F92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0015A9B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67013F8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2C88B5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3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2C22B2E2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U02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CB0266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2B41FFA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9CDE25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05E0F017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12A2348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D98BE7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60C326F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5EFF53B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14434FB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1ADA6E5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7F26AAB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CF352C7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6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7FBAFDCE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6F5A65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03F1F8F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5A3F2B57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3F2B832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5CE7A88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09FAD37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07A6EF7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36BDA0B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0948FC1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2E036D1A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0261333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6EC3C337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F8E19E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24B4A21C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776EACD5">
      <w:pPr>
        <w:pStyle w:val="15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7924D7AF">
      <w:pPr>
        <w:pStyle w:val="15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1797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C95AD1D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2CAE1C0F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73AC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52289AE5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</w:tcPr>
          <w:p w14:paraId="15B44E64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51% do 60% z wszystkich zadań stawianych studentowi </w:t>
            </w:r>
          </w:p>
        </w:tc>
      </w:tr>
      <w:tr w14:paraId="38E8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5D54609F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</w:tcPr>
          <w:p w14:paraId="24E02978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 do 70%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 wszystkich zadań stawianych studentowi</w:t>
            </w:r>
          </w:p>
        </w:tc>
      </w:tr>
      <w:tr w14:paraId="5794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44375AF7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</w:tcPr>
          <w:p w14:paraId="5A2BA3C1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 do 80%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z wszystkich zadań stawianych studentowi </w:t>
            </w:r>
          </w:p>
        </w:tc>
      </w:tr>
      <w:tr w14:paraId="5B9D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52AC046B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</w:tcPr>
          <w:p w14:paraId="28AC1EEC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0d 81% do 90%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 wszystkich zadań stawianych studentowi</w:t>
            </w:r>
          </w:p>
        </w:tc>
      </w:tr>
      <w:tr w14:paraId="44AD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4E1F74AB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</w:tcPr>
          <w:p w14:paraId="7C5EBE9B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91% do 100% z wszystkich zadań stawianych studentowi </w:t>
            </w:r>
          </w:p>
        </w:tc>
      </w:tr>
    </w:tbl>
    <w:p w14:paraId="65977CBB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323EF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B008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0074341C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66BE859B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74F81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5591F448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322D456A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56A47D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D38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7DDDEAA5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1B5242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73" w:type="dxa"/>
            <w:vAlign w:val="center"/>
          </w:tcPr>
          <w:p w14:paraId="036C946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264F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30546F10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19E12BC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5B292E6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C50A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276AC932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3CF87F9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73" w:type="dxa"/>
            <w:vAlign w:val="center"/>
          </w:tcPr>
          <w:p w14:paraId="53D5C90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76341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63524CE6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596507B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73" w:type="dxa"/>
            <w:vAlign w:val="center"/>
          </w:tcPr>
          <w:p w14:paraId="52DE268A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62BB4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245D608A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135B25C9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5B15E33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07D53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2EA25F37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68F37A8E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7AECF56D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5E9FCD03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43075AC6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</w:t>
      </w:r>
      <w:bookmarkStart w:id="1" w:name="_GoBack"/>
      <w:bookmarkEnd w:id="1"/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 w:tentative="0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5">
    <w:nsid w:val="6C443505"/>
    <w:multiLevelType w:val="multilevel"/>
    <w:tmpl w:val="6C4435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333333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6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22A8E"/>
    <w:rsid w:val="002401BA"/>
    <w:rsid w:val="00240F4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46DF"/>
    <w:rsid w:val="00621E17"/>
    <w:rsid w:val="00625795"/>
    <w:rsid w:val="00635E40"/>
    <w:rsid w:val="00654EA0"/>
    <w:rsid w:val="0067260F"/>
    <w:rsid w:val="00681248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E564D"/>
    <w:rsid w:val="00803F53"/>
    <w:rsid w:val="00823B29"/>
    <w:rsid w:val="00834C51"/>
    <w:rsid w:val="00862E0A"/>
    <w:rsid w:val="00896E3C"/>
    <w:rsid w:val="008B336A"/>
    <w:rsid w:val="008B5CE7"/>
    <w:rsid w:val="00906C25"/>
    <w:rsid w:val="009109EC"/>
    <w:rsid w:val="00913ECD"/>
    <w:rsid w:val="00922F2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C2D3B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D6CEF"/>
    <w:rsid w:val="00DE1F53"/>
    <w:rsid w:val="00E17D02"/>
    <w:rsid w:val="00E30DA9"/>
    <w:rsid w:val="00E604E4"/>
    <w:rsid w:val="00E63048"/>
    <w:rsid w:val="00E66F7C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  <w:rsid w:val="068124C4"/>
    <w:rsid w:val="17B703DF"/>
    <w:rsid w:val="4B0739A0"/>
    <w:rsid w:val="7B8C0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0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8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19"/>
    <w:semiHidden/>
    <w:unhideWhenUsed/>
    <w:qFormat/>
    <w:uiPriority w:val="99"/>
    <w:rPr>
      <w:b/>
      <w:bCs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12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66" w:hanging="349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7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18">
    <w:name w:val="Tekst komentarza Znak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19">
    <w:name w:val="Temat komentarza Znak"/>
    <w:basedOn w:val="18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0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2">
    <w:name w:val="Styl1"/>
    <w:basedOn w:val="4"/>
    <w:link w:val="23"/>
    <w:qFormat/>
    <w:uiPriority w:val="0"/>
    <w:rPr>
      <w:rFonts w:ascii="Calibri" w:hAnsi="Calibri"/>
      <w:i/>
      <w:color w:val="auto"/>
    </w:rPr>
  </w:style>
  <w:style w:type="character" w:customStyle="1" w:styleId="23">
    <w:name w:val="Styl1 Znak"/>
    <w:basedOn w:val="21"/>
    <w:link w:val="22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7AD2B-5EB2-41F1-87C9-072140294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6985</Characters>
  <Lines>65</Lines>
  <Paragraphs>18</Paragraphs>
  <TotalTime>1</TotalTime>
  <ScaleCrop>false</ScaleCrop>
  <LinksUpToDate>false</LinksUpToDate>
  <CharactersWithSpaces>7830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2026-05-14T13:53:00Z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2026-06-09T21:14:27Z</dcterms:modified>
  <dc:title>Zarządzenie nr 189-2025 Budowa programu studiów Załącznik nr 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A8102691BF574720AA0025D5184CF5B5_13</vt:lpwstr>
  </property>
</Properties>
</file>