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31EC">
      <w:pPr>
        <w:pStyle w:val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567014A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D6516C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2A288EB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t>0113.1.PSP.D5.TAPGZ</w:t>
      </w:r>
    </w:p>
    <w:p w14:paraId="54BD59D9">
      <w:pPr>
        <w:pStyle w:val="4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Technologie asystujące w pracy grup zróżnicowanych</w:t>
      </w:r>
    </w:p>
    <w:p w14:paraId="7F2CB072">
      <w:pPr>
        <w:pStyle w:val="22"/>
        <w:spacing w:line="276" w:lineRule="auto"/>
        <w:rPr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 w:val="0"/>
        </w:rPr>
        <w:t>Nazwa przedmiotu (zajęć) w języku angielskim:</w:t>
      </w:r>
      <w:r>
        <w:rPr>
          <w:rFonts w:asciiTheme="minorHAnsi" w:hAnsiTheme="minorHAnsi" w:cstheme="minorHAnsi"/>
          <w:i w:val="0"/>
          <w:sz w:val="22"/>
          <w:szCs w:val="22"/>
          <w:lang w:val="en-US"/>
        </w:rPr>
        <w:t xml:space="preserve"> Assisting technologies in work of diverse groups</w:t>
      </w:r>
    </w:p>
    <w:p w14:paraId="707A04B7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2CE24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413D1B3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</w:tcPr>
          <w:p w14:paraId="5760852F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Pedagogika specjalna</w:t>
            </w:r>
          </w:p>
        </w:tc>
      </w:tr>
      <w:tr w14:paraId="29720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00FE185C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</w:tcPr>
          <w:p w14:paraId="2EF934F9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14:paraId="03AA5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176D58DB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</w:tcPr>
          <w:p w14:paraId="58F68071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14:paraId="61F21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39E72FEE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</w:tcPr>
          <w:p w14:paraId="75268610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14:paraId="1F545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F050E7B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</w:tcPr>
          <w:p w14:paraId="20094978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 Paweł Garbuzik</w:t>
            </w:r>
          </w:p>
        </w:tc>
      </w:tr>
      <w:tr w14:paraId="6A35F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00A876D0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</w:tcPr>
          <w:p w14:paraId="59E2BB3D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pawel.garbuzik@ujk.edu.pl</w:t>
            </w:r>
          </w:p>
        </w:tc>
      </w:tr>
    </w:tbl>
    <w:p w14:paraId="344779D1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4CE9F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  <w:jc w:val="center"/>
        </w:trPr>
        <w:tc>
          <w:tcPr>
            <w:tcW w:w="3467" w:type="dxa"/>
          </w:tcPr>
          <w:p w14:paraId="35190425">
            <w:pPr>
              <w:pStyle w:val="15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1BC0C248">
            <w:pPr>
              <w:pStyle w:val="15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 w14:paraId="7A4F6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46F051F9">
            <w:pPr>
              <w:pStyle w:val="15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20BBF63F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Technologie informacyjno-komunikacyjne</w:t>
            </w:r>
          </w:p>
          <w:p w14:paraId="65E28642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  <w:p w14:paraId="0C858BC3">
            <w:pPr>
              <w:pStyle w:val="15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Podstawy edukacji integracyjnej i włączającej</w:t>
            </w:r>
          </w:p>
        </w:tc>
      </w:tr>
    </w:tbl>
    <w:p w14:paraId="52C3C06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128F0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  <w:jc w:val="center"/>
        </w:trPr>
        <w:tc>
          <w:tcPr>
            <w:tcW w:w="3466" w:type="dxa"/>
          </w:tcPr>
          <w:p w14:paraId="3AB850EF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</w:tcPr>
          <w:p w14:paraId="4C05B8CA">
            <w:pPr>
              <w:pStyle w:val="15"/>
              <w:spacing w:line="276" w:lineRule="auto"/>
              <w:ind w:left="141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14:paraId="73A71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13194716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</w:tcPr>
          <w:p w14:paraId="4BC8DBDA">
            <w:pPr>
              <w:pStyle w:val="15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</w:t>
            </w:r>
          </w:p>
        </w:tc>
      </w:tr>
      <w:tr w14:paraId="157DF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B4E13B9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</w:tcPr>
          <w:p w14:paraId="2D579F10">
            <w:pPr>
              <w:pStyle w:val="15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14:paraId="0C05A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1B757228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</w:tcPr>
          <w:p w14:paraId="03A92BE5">
            <w:pPr>
              <w:pStyle w:val="15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Prezentacja multimedialna, film dydaktyczny, burza mózgów, dyskusja, metoda problemowa, metoda praktyczna</w:t>
            </w:r>
          </w:p>
        </w:tc>
      </w:tr>
      <w:tr w14:paraId="561B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5116B544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</w:tcPr>
          <w:p w14:paraId="74229117">
            <w:pPr>
              <w:pStyle w:val="26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Cybulska, R. (2017). Derewlana H, Kacprzak A., Pęczek K., Uczeń ze specjalnymi potrzebami edukacyjnymi w systemie edukacji w świetle nowych przepisów prawa oświatowego</w:t>
            </w: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Ośrodek Rozwoju Edukacji. </w:t>
            </w:r>
          </w:p>
          <w:p w14:paraId="6D25173D">
            <w:pPr>
              <w:pStyle w:val="2"/>
              <w:keepNext w:val="0"/>
              <w:keepLines w:val="0"/>
              <w:widowControl/>
              <w:autoSpaceDE/>
              <w:autoSpaceDN/>
              <w:spacing w:before="0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Smyczek, A., Dońska-Olszko, M. (2016). Edukacja uczniów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z niepełnosprawnością intelektualną i sprzężoną</w:t>
            </w:r>
            <w:r>
              <w:rPr>
                <w:rFonts w:hint="default" w:asciiTheme="minorHAnsi" w:hAnsiTheme="minorHAnsi" w:cstheme="minorHAnsi"/>
                <w:color w:val="auto"/>
                <w:sz w:val="21"/>
                <w:szCs w:val="21"/>
                <w:lang w:val="pl-PL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Ośrodek Rozwoju Edukacji.</w:t>
            </w:r>
          </w:p>
          <w:p w14:paraId="42F970FA">
            <w:pPr>
              <w:pStyle w:val="2"/>
              <w:keepNext w:val="0"/>
              <w:keepLines w:val="0"/>
              <w:widowControl/>
              <w:autoSpaceDE/>
              <w:autoSpaceDN/>
              <w:spacing w:before="0"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Chrzanowska, I., Szumski, G. (2019). Edukacja włączająca w przedszkolu i szkole</w:t>
            </w:r>
            <w:r>
              <w:rPr>
                <w:rFonts w:hint="default" w:asciiTheme="minorHAnsi" w:hAnsiTheme="minorHAnsi" w:cstheme="minorHAnsi"/>
                <w:color w:val="auto"/>
                <w:sz w:val="21"/>
                <w:szCs w:val="21"/>
                <w:lang w:val="pl-PL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Wydawnictwo FRSE.</w:t>
            </w:r>
          </w:p>
          <w:p w14:paraId="6F34C2A0">
            <w:pPr>
              <w:pStyle w:val="15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Błeszyński, J. (red.). (2006). Alternatywne i wspomagające metody komunikacji</w:t>
            </w: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Impuls.</w:t>
            </w:r>
          </w:p>
        </w:tc>
      </w:tr>
      <w:tr w14:paraId="40B5B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7187C318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</w:tcPr>
          <w:p w14:paraId="5900614E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Sipowicz, K., Pietras, T. (2017). Wprowadzenie do pedagogiki inkluzyjnej (włączającej)</w:t>
            </w: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Wydawnictwo Continuo.</w:t>
            </w:r>
          </w:p>
          <w:p w14:paraId="7EA1CD04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Podgórska-Jachnik, D. (2020). Raport merytoryczny Edukacja włączająca w Polsce – bilans otwarcia.</w:t>
            </w:r>
          </w:p>
          <w:p w14:paraId="204310EF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Watkins, A. (2011). ICTs in Education for People with Disabilities. Review of innovate practice</w:t>
            </w: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UNESCO.</w:t>
            </w:r>
          </w:p>
          <w:p w14:paraId="47ED6BAD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www.ore.edu.pl</w:t>
            </w:r>
          </w:p>
          <w:p w14:paraId="7A48B74B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www.pfron.org.pl</w:t>
            </w:r>
          </w:p>
          <w:p w14:paraId="52ACA438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www.niepelnosprawni.pl</w:t>
            </w:r>
          </w:p>
          <w:p w14:paraId="4424C871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</w:t>
            </w: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>ww.frse.org.pl</w:t>
            </w:r>
          </w:p>
          <w:p w14:paraId="00546510">
            <w:pPr>
              <w:pStyle w:val="15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>www.ceo.org.pl</w:t>
            </w:r>
          </w:p>
        </w:tc>
      </w:tr>
    </w:tbl>
    <w:p w14:paraId="15F96EC5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1D1B3FFA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58E1AAE7">
      <w:pPr>
        <w:pStyle w:val="14"/>
        <w:spacing w:line="276" w:lineRule="auto"/>
        <w:ind w:left="36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Ćwiczenia</w:t>
      </w:r>
    </w:p>
    <w:p w14:paraId="6466346F">
      <w:pPr>
        <w:pStyle w:val="14"/>
        <w:spacing w:line="276" w:lineRule="auto"/>
        <w:ind w:left="36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C.1 Zapoznanie studentów z podstawowymi założeniami i istotą edukacji włączającej </w:t>
      </w:r>
    </w:p>
    <w:p w14:paraId="3FF68255">
      <w:pPr>
        <w:pStyle w:val="14"/>
        <w:spacing w:line="276" w:lineRule="auto"/>
        <w:ind w:left="36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C.2 Poszerzenie wiedzy z zakresu technologii i </w:t>
      </w:r>
      <w:r>
        <w:rPr>
          <w:rFonts w:asciiTheme="minorHAnsi" w:hAnsiTheme="minorHAnsi" w:cstheme="minorHAnsi"/>
          <w:sz w:val="24"/>
          <w:szCs w:val="24"/>
        </w:rPr>
        <w:t>narzędzi wspomagających rozwój edukacji włączającej</w:t>
      </w:r>
    </w:p>
    <w:p w14:paraId="0C70A7CA">
      <w:pPr>
        <w:pStyle w:val="15"/>
        <w:snapToGrid w:val="0"/>
        <w:spacing w:line="276" w:lineRule="auto"/>
        <w:ind w:left="360"/>
        <w:rPr>
          <w:rFonts w:asciiTheme="minorHAnsi" w:hAnsiTheme="minorHAnsi" w:cstheme="minorHAnsi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sz w:val="24"/>
          <w:szCs w:val="24"/>
        </w:rPr>
        <w:t>C.3 Zapoznanie studentów z wybranymi technologiami asystującymi - rozwiązaniami dostosowanymi do specjalnych potrzeb i ich zastosowaniem</w:t>
      </w:r>
    </w:p>
    <w:p w14:paraId="1C514539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30AC80C8">
      <w:pPr>
        <w:pStyle w:val="15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0A249759">
      <w:pPr>
        <w:pStyle w:val="14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Zapoznanie z kartą przedmiotu oraz warunkami zaliczenia.</w:t>
      </w:r>
    </w:p>
    <w:p w14:paraId="38CEDAFE">
      <w:pPr>
        <w:pStyle w:val="14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Założenia edukacji integracyjnej i włączającej.</w:t>
      </w:r>
    </w:p>
    <w:p w14:paraId="72B41BCF">
      <w:pPr>
        <w:pStyle w:val="14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Rozwiązania organizacyjno-prawne w edukacji włączającej i integracyjnej.</w:t>
      </w:r>
    </w:p>
    <w:p w14:paraId="029BD6BA">
      <w:pPr>
        <w:pStyle w:val="14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Zapewnienie dostępności dla osób ze szczególnymi potrzebami.</w:t>
      </w:r>
    </w:p>
    <w:p w14:paraId="2F89613B">
      <w:pPr>
        <w:pStyle w:val="14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Technologie asystujące dla uczniów z dysleksją.</w:t>
      </w:r>
    </w:p>
    <w:p w14:paraId="4463EF19">
      <w:pPr>
        <w:pStyle w:val="14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Technologie asystujące dla osób niewidomych i słabowidzących oraz głuchoniewidomych.</w:t>
      </w:r>
    </w:p>
    <w:p w14:paraId="48D87AAF">
      <w:pPr>
        <w:pStyle w:val="14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Technologie asystujące dla osób głuchych, słabosłyszących oraz doświadczających problemów </w:t>
      </w:r>
      <w:r>
        <w:rPr>
          <w:rFonts w:asciiTheme="minorHAnsi" w:hAnsiTheme="minorHAnsi" w:cstheme="minorHAnsi"/>
          <w:bCs/>
          <w:sz w:val="24"/>
          <w:szCs w:val="24"/>
        </w:rPr>
        <w:br w:type="textWrapping"/>
      </w:r>
      <w:r>
        <w:rPr>
          <w:rFonts w:asciiTheme="minorHAnsi" w:hAnsiTheme="minorHAnsi" w:cstheme="minorHAnsi"/>
          <w:bCs/>
          <w:sz w:val="24"/>
          <w:szCs w:val="24"/>
        </w:rPr>
        <w:t>w komunikowaniu się.</w:t>
      </w:r>
    </w:p>
    <w:p w14:paraId="7833C645">
      <w:pPr>
        <w:pStyle w:val="15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sz w:val="24"/>
          <w:szCs w:val="24"/>
        </w:rPr>
        <w:t xml:space="preserve">      8.Technologie asystujące dla osób z dysfunkcjami narządu ruchu.</w:t>
      </w:r>
    </w:p>
    <w:p w14:paraId="202F27DF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781CC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C196A7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0615D92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F3988E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2D462C4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0275C891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2B362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</w:tcPr>
          <w:p w14:paraId="7B9C098F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  <w:p w14:paraId="321BF3AC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D.5.W7.</w:t>
            </w:r>
          </w:p>
          <w:p w14:paraId="2C27BD92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</w:tcPr>
          <w:p w14:paraId="793720FE">
            <w:pPr>
              <w:pStyle w:val="15"/>
              <w:spacing w:line="276" w:lineRule="auto"/>
              <w:jc w:val="both"/>
              <w:rPr>
                <w:rStyle w:val="27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 koncepcje rehabilitacji, edukacji, resocjalizacji i terapii osób ze specjalnymi potrzebami edukacyjnymi oraz różnorodne uwarunkowania tych procesów;</w:t>
            </w:r>
            <w:r>
              <w:rPr>
                <w:rStyle w:val="27"/>
                <w:rFonts w:asciiTheme="minorHAnsi" w:hAnsiTheme="minorHAnsi" w:cstheme="minorHAnsi"/>
                <w:sz w:val="21"/>
                <w:szCs w:val="21"/>
              </w:rPr>
              <w:t xml:space="preserve"> współczesne podejście do problemów uczniów ze specjalnymi potrzebami edukacyjnymi i wynikające z niego nowe formy edukacji, w tym integracyjna i włączająca;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organizację i metodyki kształcenia uczniów ze specjalnymi potrzebami edukacyjnymi w systemie integracyjnym i włączającym, w szczególności modele współpracy pedagogów specjalnych z nauczycielami, specjalistami, rodzicami lub opiekunami oraz modele indywidualizacji lekcji, efektywne strategie nauczania i uniwersalnego projektowania zajęć;</w:t>
            </w:r>
          </w:p>
          <w:p w14:paraId="0BA055F2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27"/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założenia teoretyczne, budowę i metodykę stosowania indeksu włączania oraz inne narzędzia wspomagające rozwój edukacji włączającej w przedszkolu i szkole.</w:t>
            </w:r>
          </w:p>
        </w:tc>
        <w:tc>
          <w:tcPr>
            <w:tcW w:w="1773" w:type="dxa"/>
          </w:tcPr>
          <w:p w14:paraId="644A9B6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PSPEC_W05</w:t>
            </w:r>
          </w:p>
          <w:p w14:paraId="1D396E8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PSPEC_W09</w:t>
            </w:r>
          </w:p>
          <w:p w14:paraId="210DD87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PSPEC_W11</w:t>
            </w:r>
          </w:p>
        </w:tc>
      </w:tr>
    </w:tbl>
    <w:p w14:paraId="3D072A2B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1A69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</w:tcPr>
          <w:p w14:paraId="56E97688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21777684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D.5.U4.</w:t>
            </w:r>
          </w:p>
          <w:p w14:paraId="5575211D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29E091ED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Potrafi wykorzystywać i integrować wiedzę z zakresu pedagogiki specjalnej oraz powiązanych z nią dyscyplin naukowych w celu analizy problemów rehabilitacyjnych, edukacyjnych, terapeutycznych i resocjalizacyjnych.</w:t>
            </w:r>
          </w:p>
          <w:p w14:paraId="098429FC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Potrafi tworzyć szkolne bazy zasobów metodycznych dla edukacji włączającej;</w:t>
            </w:r>
          </w:p>
        </w:tc>
        <w:tc>
          <w:tcPr>
            <w:tcW w:w="1773" w:type="dxa"/>
          </w:tcPr>
          <w:p w14:paraId="39CE7BED">
            <w:pPr>
              <w:pStyle w:val="15"/>
              <w:spacing w:line="276" w:lineRule="auto"/>
              <w:jc w:val="center"/>
              <w:rPr>
                <w:rStyle w:val="27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27"/>
                <w:rFonts w:asciiTheme="minorHAnsi" w:hAnsiTheme="minorHAnsi" w:cstheme="minorHAnsi"/>
                <w:sz w:val="21"/>
                <w:szCs w:val="21"/>
              </w:rPr>
              <w:t>PSPEC_U01</w:t>
            </w:r>
          </w:p>
          <w:p w14:paraId="2E4B50D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strike/>
                <w:sz w:val="21"/>
                <w:szCs w:val="21"/>
              </w:rPr>
            </w:pPr>
          </w:p>
        </w:tc>
      </w:tr>
    </w:tbl>
    <w:p w14:paraId="5FFE0DE4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34B0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</w:tcPr>
          <w:p w14:paraId="3067CE4D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  <w:p w14:paraId="27C08F55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D.5.K3.</w:t>
            </w:r>
          </w:p>
          <w:p w14:paraId="19623E16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</w:tcPr>
          <w:p w14:paraId="2A2C15C1">
            <w:pPr>
              <w:pStyle w:val="15"/>
              <w:spacing w:line="276" w:lineRule="auto"/>
              <w:jc w:val="both"/>
              <w:rPr>
                <w:rStyle w:val="28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Jest gotów do komunikowania się i współpracy z otoczeniem oraz aktywnego uczestnictwa w grupach i organizacjach realizujących działania edukacyjne, rehabilitacyjne, terapeutyczne i resocjalizacyjne; rozpoznawania specyfiki środowiska lokalnego i regionalnego oraz ich wpływu na funkcjonowanie uczniów a także podejmowania współpracy na rzecz dobra uczniów i tych środowisk;</w:t>
            </w:r>
          </w:p>
          <w:p w14:paraId="68F48ADC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Jest gotów do współpracy z nauczycielami, specjalistami, kadrą pomocniczą, rodzicami lub opiekunami dzieci i uczniów oraz ze środowiskiem lokalnym.</w:t>
            </w:r>
          </w:p>
        </w:tc>
        <w:tc>
          <w:tcPr>
            <w:tcW w:w="1773" w:type="dxa"/>
          </w:tcPr>
          <w:p w14:paraId="2C2DA439">
            <w:pPr>
              <w:pStyle w:val="15"/>
              <w:spacing w:line="276" w:lineRule="auto"/>
              <w:jc w:val="center"/>
              <w:rPr>
                <w:rStyle w:val="27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27"/>
                <w:rFonts w:asciiTheme="minorHAnsi" w:hAnsiTheme="minorHAnsi" w:cstheme="minorHAnsi"/>
                <w:sz w:val="21"/>
                <w:szCs w:val="21"/>
              </w:rPr>
              <w:t>PSPEC_K03</w:t>
            </w:r>
          </w:p>
          <w:p w14:paraId="6574C685">
            <w:pPr>
              <w:pStyle w:val="15"/>
              <w:spacing w:line="276" w:lineRule="auto"/>
              <w:jc w:val="center"/>
              <w:rPr>
                <w:rStyle w:val="27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27"/>
                <w:rFonts w:asciiTheme="minorHAnsi" w:hAnsiTheme="minorHAnsi" w:cstheme="minorHAnsi"/>
                <w:sz w:val="21"/>
                <w:szCs w:val="21"/>
              </w:rPr>
              <w:t>PSPEC_K05</w:t>
            </w:r>
          </w:p>
          <w:p w14:paraId="088014F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DE349A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7B0BECCF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39951E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94E68B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2"/>
        <w:tblW w:w="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  <w:gridCol w:w="1228"/>
      </w:tblGrid>
      <w:tr w14:paraId="71B6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75D19DE">
            <w:pPr>
              <w:pStyle w:val="15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43762D2C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27AFBFA9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 własna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1C588599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0B09F1D6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 w14:paraId="7EF2BD48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2"/>
        <w:tblW w:w="4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14:paraId="2216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41546FE9">
            <w:pPr>
              <w:pStyle w:val="15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5F56281E">
            <w:pPr>
              <w:pStyle w:val="15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BCB12F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08A370D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12D8DA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4BA0F2F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78952A9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0D8FF81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72E43C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74EB21E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7B816BD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30CD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66399D9E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2D99BE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713FAAE9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28CA85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5923714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3FBD1F1C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555F541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452A6EF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7EFEDCC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A826C7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7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5802BFCB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6196D1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287A5A21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78E070D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5556B60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7A934D50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0009FD8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A5033D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1E13BAA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8BA9C4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E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260B3360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D2B3D8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2EE41187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7E81256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3B84FDE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780DF304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4A30C7B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4C6A29E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FD6FAEF">
            <w:pPr>
              <w:pStyle w:val="15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5655F2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FCCFDC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0EBF11F4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532067C0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1D390DBD">
      <w:pPr>
        <w:pStyle w:val="15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878"/>
      </w:tblGrid>
      <w:tr w14:paraId="518A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1" w:type="dxa"/>
          </w:tcPr>
          <w:p w14:paraId="30D0CF1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8" w:type="dxa"/>
          </w:tcPr>
          <w:p w14:paraId="55A5B7D7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64DA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4BEC0A7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8" w:type="dxa"/>
          </w:tcPr>
          <w:p w14:paraId="395AA0DE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do 60%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punktów uzyskanych za wszystkie zadania realizowane przez studenta</w:t>
            </w:r>
          </w:p>
        </w:tc>
      </w:tr>
      <w:tr w14:paraId="380E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24F50391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8" w:type="dxa"/>
          </w:tcPr>
          <w:p w14:paraId="669688E5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do 70%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punktów uzyskanych za wszystkie zadania realizowane przez studenta</w:t>
            </w:r>
          </w:p>
        </w:tc>
      </w:tr>
      <w:tr w14:paraId="1C93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272A9208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8" w:type="dxa"/>
          </w:tcPr>
          <w:p w14:paraId="2730F781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do 80%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punktów uzyskanych za wszystkie zadania realizowane przez studenta</w:t>
            </w:r>
          </w:p>
        </w:tc>
      </w:tr>
      <w:tr w14:paraId="32EF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6BF8EF6E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8" w:type="dxa"/>
          </w:tcPr>
          <w:p w14:paraId="480640C7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do 90%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punktów uzyskanych za wszystkie zadania realizowane przez studenta</w:t>
            </w:r>
          </w:p>
        </w:tc>
      </w:tr>
      <w:tr w14:paraId="6C3F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38C42BB7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8" w:type="dxa"/>
          </w:tcPr>
          <w:p w14:paraId="58CDDA61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do 100%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punktów uzyskanych za wszystkie zadania realizowane przez studenta</w:t>
            </w:r>
          </w:p>
        </w:tc>
      </w:tr>
    </w:tbl>
    <w:p w14:paraId="48FF20E4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07C0D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B7F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03A8A46E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77B8CDEC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4794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0D4198A8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288A28E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5750889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D48B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4401C1A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A82DDC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73" w:type="dxa"/>
            <w:vAlign w:val="center"/>
          </w:tcPr>
          <w:p w14:paraId="0983B87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B01E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6C8FF10C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691F4D9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70EFCFC0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13E63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1CB0516B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33302B1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73" w:type="dxa"/>
            <w:vAlign w:val="center"/>
          </w:tcPr>
          <w:p w14:paraId="59F12A0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F03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565922CA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498731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73" w:type="dxa"/>
            <w:vAlign w:val="center"/>
          </w:tcPr>
          <w:p w14:paraId="57839BF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ACFF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70EDF2CA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3882C9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4A23646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6F80A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28021B2F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3D9957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7D48DE2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2BA0A6DF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</w:t>
      </w:r>
      <w:bookmarkStart w:id="1" w:name="_GoBack"/>
      <w:bookmarkEnd w:id="1"/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 podpisy osób prowadzących przedmiot (zajęcia)w danym roku akademickim)</w:t>
      </w:r>
    </w:p>
    <w:p w14:paraId="4D2E8A62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341FC"/>
    <w:multiLevelType w:val="multilevel"/>
    <w:tmpl w:val="478341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93B90"/>
    <w:rsid w:val="000A3829"/>
    <w:rsid w:val="000D4346"/>
    <w:rsid w:val="000E3D8A"/>
    <w:rsid w:val="000F5265"/>
    <w:rsid w:val="00104870"/>
    <w:rsid w:val="00104F8D"/>
    <w:rsid w:val="001106DC"/>
    <w:rsid w:val="001373A5"/>
    <w:rsid w:val="00145EC7"/>
    <w:rsid w:val="0017153C"/>
    <w:rsid w:val="001731E7"/>
    <w:rsid w:val="001D18A7"/>
    <w:rsid w:val="001D511D"/>
    <w:rsid w:val="001E0ADE"/>
    <w:rsid w:val="001E7B5A"/>
    <w:rsid w:val="00204C4C"/>
    <w:rsid w:val="002260D7"/>
    <w:rsid w:val="00230A65"/>
    <w:rsid w:val="002401BA"/>
    <w:rsid w:val="0024093E"/>
    <w:rsid w:val="002462F8"/>
    <w:rsid w:val="0027397F"/>
    <w:rsid w:val="00332E95"/>
    <w:rsid w:val="00341AC4"/>
    <w:rsid w:val="0034602B"/>
    <w:rsid w:val="003622B2"/>
    <w:rsid w:val="00363F81"/>
    <w:rsid w:val="003933F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5111C"/>
    <w:rsid w:val="004838B3"/>
    <w:rsid w:val="004A241A"/>
    <w:rsid w:val="004B30D1"/>
    <w:rsid w:val="004B771E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052D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2E5"/>
    <w:rsid w:val="0067260F"/>
    <w:rsid w:val="006A0C6B"/>
    <w:rsid w:val="006A31E7"/>
    <w:rsid w:val="006C5000"/>
    <w:rsid w:val="006D764F"/>
    <w:rsid w:val="006E60C3"/>
    <w:rsid w:val="006F029C"/>
    <w:rsid w:val="00725F8A"/>
    <w:rsid w:val="00744617"/>
    <w:rsid w:val="00745543"/>
    <w:rsid w:val="00775AF1"/>
    <w:rsid w:val="0078420E"/>
    <w:rsid w:val="007B605E"/>
    <w:rsid w:val="007C3DBD"/>
    <w:rsid w:val="008209AE"/>
    <w:rsid w:val="00823B29"/>
    <w:rsid w:val="00834C51"/>
    <w:rsid w:val="00862E0A"/>
    <w:rsid w:val="00896E3C"/>
    <w:rsid w:val="008B336A"/>
    <w:rsid w:val="008E55C2"/>
    <w:rsid w:val="00906C25"/>
    <w:rsid w:val="009109EC"/>
    <w:rsid w:val="00913ECD"/>
    <w:rsid w:val="00937B44"/>
    <w:rsid w:val="00944126"/>
    <w:rsid w:val="00950D28"/>
    <w:rsid w:val="00952870"/>
    <w:rsid w:val="0095606D"/>
    <w:rsid w:val="00957188"/>
    <w:rsid w:val="009C0243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22B0E"/>
    <w:rsid w:val="00B36858"/>
    <w:rsid w:val="00B42633"/>
    <w:rsid w:val="00B54F67"/>
    <w:rsid w:val="00B64890"/>
    <w:rsid w:val="00B6660E"/>
    <w:rsid w:val="00B72C78"/>
    <w:rsid w:val="00B877F7"/>
    <w:rsid w:val="00BB0629"/>
    <w:rsid w:val="00BC14F3"/>
    <w:rsid w:val="00BE67AE"/>
    <w:rsid w:val="00C1154E"/>
    <w:rsid w:val="00C14619"/>
    <w:rsid w:val="00C15E8D"/>
    <w:rsid w:val="00C21810"/>
    <w:rsid w:val="00C51D09"/>
    <w:rsid w:val="00C54918"/>
    <w:rsid w:val="00C62B71"/>
    <w:rsid w:val="00C74615"/>
    <w:rsid w:val="00CA3616"/>
    <w:rsid w:val="00CB604E"/>
    <w:rsid w:val="00CC0F64"/>
    <w:rsid w:val="00CC3B13"/>
    <w:rsid w:val="00CD60D3"/>
    <w:rsid w:val="00CF48D1"/>
    <w:rsid w:val="00D05AB2"/>
    <w:rsid w:val="00D332F1"/>
    <w:rsid w:val="00D85EF3"/>
    <w:rsid w:val="00D864ED"/>
    <w:rsid w:val="00D938BC"/>
    <w:rsid w:val="00DA28D5"/>
    <w:rsid w:val="00DB5D67"/>
    <w:rsid w:val="00DD65E8"/>
    <w:rsid w:val="00DE1F53"/>
    <w:rsid w:val="00E17D02"/>
    <w:rsid w:val="00E2791F"/>
    <w:rsid w:val="00E30DA9"/>
    <w:rsid w:val="00E604E4"/>
    <w:rsid w:val="00E63048"/>
    <w:rsid w:val="00E81B10"/>
    <w:rsid w:val="00E945B3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236D"/>
    <w:rsid w:val="00F05892"/>
    <w:rsid w:val="00F114BE"/>
    <w:rsid w:val="00F14896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7E9A0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0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12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left="966" w:hanging="349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7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8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19">
    <w:name w:val="Temat komentarza Znak"/>
    <w:basedOn w:val="18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0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2">
    <w:name w:val="Styl1"/>
    <w:basedOn w:val="4"/>
    <w:link w:val="23"/>
    <w:qFormat/>
    <w:uiPriority w:val="0"/>
    <w:rPr>
      <w:rFonts w:ascii="Calibri" w:hAnsi="Calibri"/>
      <w:i/>
      <w:color w:val="auto"/>
    </w:rPr>
  </w:style>
  <w:style w:type="character" w:customStyle="1" w:styleId="23">
    <w:name w:val="Styl1 Znak"/>
    <w:basedOn w:val="21"/>
    <w:link w:val="22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character" w:customStyle="1" w:styleId="24">
    <w:name w:val="Body text (2)_"/>
    <w:link w:val="25"/>
    <w:qFormat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26">
    <w:name w:val="Akapit z listą1"/>
    <w:basedOn w:val="1"/>
    <w:qFormat/>
    <w:uiPriority w:val="0"/>
    <w:pPr>
      <w:suppressAutoHyphens/>
      <w:autoSpaceDE/>
      <w:autoSpaceDN/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27">
    <w:name w:val="normaltextrun"/>
    <w:basedOn w:val="5"/>
    <w:qFormat/>
    <w:uiPriority w:val="0"/>
  </w:style>
  <w:style w:type="character" w:customStyle="1" w:styleId="28">
    <w:name w:val="eo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745C-F0B1-46AD-B75B-B94ADF93E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638</Words>
  <Characters>4706</Characters>
  <Lines>48</Lines>
  <Paragraphs>13</Paragraphs>
  <TotalTime>34</TotalTime>
  <ScaleCrop>false</ScaleCrop>
  <LinksUpToDate>false</LinksUpToDate>
  <CharactersWithSpaces>5241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2026-06-13T10:58:00Z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2026-06-13T12:03:55Z</dcterms:modified>
  <dc:title>Zarządzenie nr 189-2025 Budowa programu studiów Załącznik nr 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eyJoZGlkIjoiOGI4NjI5OTBmMDM1ODFlMDkzNDFlZTFiMWNhZWU5ZTMiLCJ1c2VySWQiOiIzMDQxMzM4MDAyNjk5In0=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F3A67554457D433A9CD2E139264BAF2D_12</vt:lpwstr>
  </property>
</Properties>
</file>