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5C" w:rsidRDefault="00C9415C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C9415C" w:rsidRDefault="0044732F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C9415C" w:rsidRDefault="0044732F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Theme="minorHAnsi" w:eastAsia="SimSun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color w:val="000000" w:themeColor="text1"/>
          <w:sz w:val="22"/>
          <w:szCs w:val="22"/>
        </w:rPr>
        <w:t>0113.1.PSP.E1.KAW</w:t>
      </w:r>
    </w:p>
    <w:p w:rsidR="00C9415C" w:rsidRDefault="0044732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</w:t>
      </w:r>
      <w:r>
        <w:rPr>
          <w:rFonts w:ascii="Calibri" w:eastAsia="SimSun" w:hAnsi="Calibri"/>
          <w:b/>
          <w:bCs/>
          <w:iCs/>
          <w:color w:val="000000" w:themeColor="text1"/>
        </w:rPr>
        <w:t>m: Komunikacja alternatywna i wspomagająca</w:t>
      </w:r>
    </w:p>
    <w:p w:rsidR="00C9415C" w:rsidRDefault="0044732F">
      <w:pPr>
        <w:pStyle w:val="Styl1"/>
        <w:spacing w:line="276" w:lineRule="auto"/>
        <w:ind w:firstLine="426"/>
        <w:rPr>
          <w:rFonts w:eastAsia="SimSun"/>
          <w:b/>
          <w:bCs/>
          <w:i w:val="0"/>
          <w:iCs/>
          <w:color w:val="000000" w:themeColor="text1"/>
        </w:rPr>
      </w:pPr>
      <w:r>
        <w:rPr>
          <w:rFonts w:eastAsia="SimSun"/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rFonts w:eastAsia="SimSun"/>
          <w:b/>
          <w:bCs/>
          <w:i w:val="0"/>
          <w:iCs/>
          <w:color w:val="000000" w:themeColor="text1"/>
        </w:rPr>
        <w:t>Alternative</w:t>
      </w:r>
      <w:proofErr w:type="spellEnd"/>
      <w:r>
        <w:rPr>
          <w:rFonts w:eastAsia="SimSun"/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rFonts w:eastAsia="SimSun"/>
          <w:b/>
          <w:bCs/>
          <w:i w:val="0"/>
          <w:iCs/>
          <w:color w:val="000000" w:themeColor="text1"/>
        </w:rPr>
        <w:t>Supportive</w:t>
      </w:r>
      <w:proofErr w:type="spellEnd"/>
      <w:r>
        <w:rPr>
          <w:rFonts w:eastAsia="SimSun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eastAsia="SimSun"/>
          <w:b/>
          <w:bCs/>
          <w:i w:val="0"/>
          <w:iCs/>
          <w:color w:val="000000" w:themeColor="text1"/>
        </w:rPr>
        <w:t>Communication</w:t>
      </w:r>
      <w:proofErr w:type="spellEnd"/>
    </w:p>
    <w:p w:rsidR="00C9415C" w:rsidRDefault="0044732F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741"/>
        <w:gridCol w:w="5006"/>
      </w:tblGrid>
      <w:tr w:rsidR="00C9415C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 w:rsidP="00F30DC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C9415C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 w:rsidP="00F30DC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C9415C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 w:rsidP="00F30DC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Pierwszego stopnia - licencjackie </w:t>
            </w:r>
          </w:p>
        </w:tc>
      </w:tr>
      <w:tr w:rsidR="00C9415C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 w:rsidP="00F30DC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C9415C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3F2F00" w:rsidRDefault="0044732F" w:rsidP="00F30DC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F2F00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dr 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Monika Wojtkowiak</w:t>
            </w:r>
            <w:r w:rsidRPr="003F2F00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/mgr Inga Staszowska</w:t>
            </w:r>
          </w:p>
        </w:tc>
      </w:tr>
      <w:tr w:rsidR="00C9415C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3F2F00" w:rsidRDefault="0044732F" w:rsidP="00F30DC6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mwojtkowiak@ujk.edu.pl</w:t>
            </w:r>
            <w:r w:rsidRPr="003F2F00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/inga.staszowska@ujk.edu.pl</w:t>
            </w:r>
          </w:p>
        </w:tc>
      </w:tr>
    </w:tbl>
    <w:p w:rsidR="00C9415C" w:rsidRDefault="0044732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67"/>
        <w:gridCol w:w="6280"/>
      </w:tblGrid>
      <w:tr w:rsidR="00C9415C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C9415C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Podstawowa wiedza i umiejętności z zakresu pedagogiki ogólnej, teorii wychowania i filozofii </w:t>
            </w:r>
          </w:p>
        </w:tc>
      </w:tr>
    </w:tbl>
    <w:p w:rsidR="00C9415C" w:rsidRDefault="0044732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0"/>
      </w:tblGrid>
      <w:tr w:rsidR="00C9415C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0DC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wykłady/ćwiczenia</w:t>
            </w:r>
          </w:p>
        </w:tc>
      </w:tr>
      <w:tr w:rsidR="00C9415C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0DC6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C9415C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TableParagraph"/>
              <w:spacing w:line="276" w:lineRule="auto"/>
              <w:ind w:left="106" w:right="183"/>
              <w:rPr>
                <w:sz w:val="21"/>
                <w:szCs w:val="21"/>
              </w:rPr>
            </w:pPr>
            <w:r w:rsidRPr="00F30D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Egzamin/zaliczenie z oceną</w:t>
            </w:r>
          </w:p>
        </w:tc>
      </w:tr>
      <w:tr w:rsidR="00C9415C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0D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 (WK), dyskusja, wykład informacyjny </w:t>
            </w:r>
          </w:p>
        </w:tc>
      </w:tr>
      <w:tr w:rsidR="00C9415C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2"/>
              <w:rPr>
                <w:rFonts w:ascii="Calibri" w:hAnsi="Calibri" w:cs="Calibri"/>
                <w:sz w:val="21"/>
                <w:szCs w:val="21"/>
              </w:rPr>
            </w:pPr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 xml:space="preserve">Błeszyński, J. (red.). (2008).  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1"/>
                <w:szCs w:val="21"/>
              </w:rPr>
              <w:t>Alternatywne i wspomagające metody komunikacji.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 xml:space="preserve"> Oficyna Wydawnicza Impuls.</w:t>
            </w:r>
          </w:p>
          <w:p w:rsidR="00C9415C" w:rsidRPr="00F30DC6" w:rsidRDefault="0044732F" w:rsidP="00F30DC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2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>Baczała</w:t>
            </w:r>
            <w:proofErr w:type="spellEnd"/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 xml:space="preserve">, D., Błeszyński, J. (red.). (2017).  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1"/>
                <w:szCs w:val="21"/>
              </w:rPr>
              <w:t>Społeczeństwo włączające a komunikacja.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 xml:space="preserve"> Wydawnictwo Naukowe UMK. </w:t>
            </w:r>
          </w:p>
          <w:p w:rsidR="00C9415C" w:rsidRPr="00F30DC6" w:rsidRDefault="0044732F" w:rsidP="00F30DC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2"/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30DC6"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  <w:t>Baczała</w:t>
            </w:r>
            <w:proofErr w:type="spellEnd"/>
            <w:r w:rsidRPr="00F30DC6"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  <w:t>, D., Błeszyński, J. (red.). (2014). Metody komunikacji alternatywnych i wspomagających. Wydawnictwo Uniwersytetu Mikołaja Kopernika.</w:t>
            </w:r>
          </w:p>
          <w:p w:rsidR="00C9415C" w:rsidRPr="00F30DC6" w:rsidRDefault="0044732F" w:rsidP="00F30DC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2"/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</w:pPr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 xml:space="preserve">Kaczmarek, B. B., Grycman, M. (2019). 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1"/>
                <w:szCs w:val="21"/>
              </w:rPr>
              <w:t>Podręczny słownik terminów AAC Komunikacji wspomagającej i alternatywnej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1"/>
                <w:szCs w:val="21"/>
              </w:rPr>
              <w:t>, Oficyna Wydawnicza IMPULS.</w:t>
            </w:r>
          </w:p>
          <w:p w:rsidR="00C9415C" w:rsidRPr="00F30DC6" w:rsidRDefault="0044732F" w:rsidP="00F30DC6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2"/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30DC6"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  <w:t>Przebinda</w:t>
            </w:r>
            <w:proofErr w:type="spellEnd"/>
            <w:r w:rsidRPr="00F30DC6"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  <w:t xml:space="preserve">, E., Michalik, M. i Grzelak, E. (2024). </w:t>
            </w:r>
            <w:r w:rsidRPr="00F30DC6">
              <w:rPr>
                <w:rFonts w:ascii="Calibri" w:eastAsia="Times New Roman;Times New Roman" w:hAnsi="Calibri" w:cs="Calibri"/>
                <w:color w:val="000000" w:themeColor="text1"/>
                <w:sz w:val="21"/>
                <w:szCs w:val="21"/>
              </w:rPr>
              <w:t xml:space="preserve">Komunikacja wspomagająca i alternatywna (AAC) w praktyce logopedycznej </w:t>
            </w:r>
            <w:r w:rsidR="00F30DC6">
              <w:rPr>
                <w:rFonts w:ascii="Calibri" w:eastAsia="Times New Roman;Times New Roman" w:hAnsi="Calibri" w:cs="Calibri"/>
                <w:color w:val="000000" w:themeColor="text1"/>
                <w:sz w:val="21"/>
                <w:szCs w:val="21"/>
              </w:rPr>
              <w:br/>
            </w:r>
            <w:r w:rsidRPr="00F30DC6">
              <w:rPr>
                <w:rFonts w:ascii="Calibri" w:eastAsia="Times New Roman;Times New Roman" w:hAnsi="Calibri" w:cs="Calibri"/>
                <w:color w:val="000000" w:themeColor="text1"/>
                <w:sz w:val="21"/>
                <w:szCs w:val="21"/>
              </w:rPr>
              <w:t>i terapeutycznej</w:t>
            </w:r>
            <w:r w:rsidRPr="00F30DC6">
              <w:rPr>
                <w:rFonts w:ascii="Calibri" w:eastAsia="Times New Roman;Times New Roman" w:hAnsi="Calibri" w:cs="Calibri"/>
                <w:iCs/>
                <w:color w:val="000000" w:themeColor="text1"/>
                <w:sz w:val="21"/>
                <w:szCs w:val="21"/>
              </w:rPr>
              <w:t>. Wydawnictwo Harmonia.</w:t>
            </w:r>
          </w:p>
        </w:tc>
      </w:tr>
      <w:tr w:rsidR="00C9415C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F30DC6" w:rsidRDefault="0044732F" w:rsidP="00F30DC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2" w:hanging="284"/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</w:pPr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Caron, J., O’Neill Zimmerman, T., </w:t>
            </w:r>
            <w:proofErr w:type="spellStart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>Meneskie</w:t>
            </w:r>
            <w:proofErr w:type="spellEnd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, M., Babb, S., &amp; </w:t>
            </w:r>
            <w:proofErr w:type="spellStart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>Wendelken</w:t>
            </w:r>
            <w:proofErr w:type="spellEnd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, M. (2025). </w:t>
            </w:r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</w:rPr>
              <w:t>“</w:t>
            </w:r>
            <w:proofErr w:type="spellStart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</w:rPr>
              <w:t>It’s</w:t>
            </w:r>
            <w:proofErr w:type="spellEnd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</w:rPr>
              <w:t xml:space="preserve"> </w:t>
            </w:r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caused our whole family to enjoy each other:” a family’s perspective on the impact of disability and AAC on the family system. </w:t>
            </w:r>
            <w:r w:rsidRPr="00F30DC6">
              <w:rPr>
                <w:rFonts w:asciiTheme="minorHAnsi" w:eastAsia="Times New Roman;Times New Roman" w:hAnsiTheme="minorHAnsi" w:cstheme="minorHAnsi"/>
                <w:iCs/>
                <w:color w:val="000000"/>
                <w:sz w:val="21"/>
                <w:szCs w:val="21"/>
                <w:lang w:val="en-US"/>
              </w:rPr>
              <w:t>Augmentative and Alternative Communication</w:t>
            </w:r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, 1–12. </w:t>
            </w:r>
            <w:hyperlink r:id="rId9" w:history="1">
              <w:r w:rsidRPr="00F30DC6">
                <w:rPr>
                  <w:rStyle w:val="Hipercze"/>
                  <w:rFonts w:asciiTheme="minorHAnsi" w:eastAsia="Times New Roman;Times New Roman" w:hAnsiTheme="minorHAnsi" w:cstheme="minorHAnsi"/>
                  <w:sz w:val="21"/>
                  <w:szCs w:val="21"/>
                  <w:lang w:val="en-US"/>
                </w:rPr>
                <w:t>https://doi.org/10.1080/07434618.2025.2546876</w:t>
              </w:r>
            </w:hyperlink>
          </w:p>
          <w:p w:rsidR="00C9415C" w:rsidRPr="00F30DC6" w:rsidRDefault="0044732F" w:rsidP="00F30DC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2" w:hanging="284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proofErr w:type="spellStart"/>
            <w:r w:rsidRPr="00F30D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Sønsthagen</w:t>
            </w:r>
            <w:proofErr w:type="spellEnd"/>
            <w:r w:rsidRPr="00F30D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S., &amp; </w:t>
            </w:r>
            <w:proofErr w:type="spellStart"/>
            <w:r w:rsidRPr="00F30D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Brustad</w:t>
            </w:r>
            <w:proofErr w:type="spellEnd"/>
            <w:r w:rsidRPr="00F30D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L. K. (2025). “Take me seriously, talk to me, ask me questions, and listen when I speak”. An empirical analysis of experiences with AAC in young adults’ educational and social interactions. </w:t>
            </w:r>
            <w:r w:rsidRPr="00F30DC6">
              <w:rPr>
                <w:rFonts w:asciiTheme="minorHAnsi" w:hAnsiTheme="minorHAnsi" w:cstheme="minorHAnsi"/>
                <w:iCs/>
                <w:sz w:val="21"/>
                <w:szCs w:val="21"/>
                <w:lang w:val="en-US"/>
              </w:rPr>
              <w:t>Augmentative and Alternative Communication</w:t>
            </w:r>
            <w:r w:rsidRPr="00F30DC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, 1–12. </w:t>
            </w:r>
            <w:hyperlink r:id="rId10" w:history="1">
              <w:r w:rsidRPr="00F30DC6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en-US"/>
                </w:rPr>
                <w:t>https://doi.org/10.1080/07434618.2025.2558850</w:t>
              </w:r>
            </w:hyperlink>
          </w:p>
          <w:p w:rsidR="00C9415C" w:rsidRPr="00F30DC6" w:rsidRDefault="0044732F" w:rsidP="00F30DC6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2" w:hanging="284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lastRenderedPageBreak/>
              <w:t>Grycman</w:t>
            </w:r>
            <w:proofErr w:type="spellEnd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, M., </w:t>
            </w:r>
            <w:proofErr w:type="spellStart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>Smyczek</w:t>
            </w:r>
            <w:proofErr w:type="spellEnd"/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  <w:lang w:val="en-US"/>
              </w:rPr>
              <w:t xml:space="preserve"> Al. </w:t>
            </w:r>
            <w:r w:rsidRPr="00F30DC6">
              <w:rPr>
                <w:rFonts w:asciiTheme="minorHAnsi" w:eastAsia="Times New Roman;Times New Roman" w:hAnsiTheme="minorHAnsi" w:cstheme="minorHAnsi"/>
                <w:color w:val="000000"/>
                <w:sz w:val="21"/>
                <w:szCs w:val="21"/>
              </w:rPr>
              <w:t xml:space="preserve">(red.). (2004). </w:t>
            </w:r>
            <w:r w:rsidRPr="00F30DC6">
              <w:rPr>
                <w:rFonts w:asciiTheme="minorHAnsi" w:eastAsia="Times New Roman;Times New Roman" w:hAnsiTheme="minorHAnsi" w:cstheme="minorHAnsi"/>
                <w:iCs/>
                <w:color w:val="000000"/>
                <w:sz w:val="21"/>
                <w:szCs w:val="21"/>
              </w:rPr>
              <w:t>Wiem czego chcę! Doświadczenia polskich terapeutów i użytkowników wspomagających sposobów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0"/>
                <w:szCs w:val="20"/>
              </w:rPr>
              <w:t xml:space="preserve"> porozumiewania się.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0"/>
                <w:szCs w:val="20"/>
              </w:rPr>
              <w:t xml:space="preserve"> Stowarzyszenie Mówić bez słów.</w:t>
            </w:r>
          </w:p>
          <w:p w:rsidR="00F30DC6" w:rsidRPr="00F30DC6" w:rsidRDefault="0044732F" w:rsidP="00F30DC6">
            <w:pPr>
              <w:pStyle w:val="Akapitzlist"/>
              <w:numPr>
                <w:ilvl w:val="0"/>
                <w:numId w:val="10"/>
              </w:numPr>
              <w:ind w:left="422" w:hanging="284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30DC6">
              <w:rPr>
                <w:rFonts w:ascii="Calibri" w:eastAsia="Times New Roman;Times New Roman" w:hAnsi="Calibri" w:cs="Calibri"/>
                <w:color w:val="000000"/>
                <w:sz w:val="20"/>
                <w:szCs w:val="20"/>
              </w:rPr>
              <w:t xml:space="preserve">Kaczmarek, B. B., Wojciechowska, A. (2015).  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0"/>
                <w:szCs w:val="20"/>
              </w:rPr>
              <w:t>Autyzm i AAC.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0"/>
                <w:szCs w:val="20"/>
              </w:rPr>
              <w:t xml:space="preserve"> Oficyna Wydawnicza IMPULS.</w:t>
            </w:r>
          </w:p>
          <w:p w:rsidR="00C9415C" w:rsidRPr="00F30DC6" w:rsidRDefault="0044732F" w:rsidP="00F30DC6">
            <w:pPr>
              <w:pStyle w:val="Akapitzlist"/>
              <w:numPr>
                <w:ilvl w:val="0"/>
                <w:numId w:val="10"/>
              </w:numPr>
              <w:ind w:left="422" w:hanging="284"/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</w:pPr>
            <w:r w:rsidRPr="00F30DC6">
              <w:rPr>
                <w:rFonts w:ascii="Calibri" w:eastAsia="Times New Roman;Times New Roman" w:hAnsi="Calibri" w:cs="Calibri"/>
                <w:color w:val="000000"/>
                <w:sz w:val="20"/>
                <w:szCs w:val="20"/>
              </w:rPr>
              <w:t xml:space="preserve">Grycman, M. (2014). </w:t>
            </w:r>
            <w:r w:rsidRPr="00F30DC6">
              <w:rPr>
                <w:rFonts w:ascii="Calibri" w:eastAsia="Times New Roman;Times New Roman" w:hAnsi="Calibri" w:cs="Calibri"/>
                <w:iCs/>
                <w:color w:val="000000"/>
                <w:sz w:val="20"/>
                <w:szCs w:val="20"/>
              </w:rPr>
              <w:t>Porozumiewanie się z dziećmi ze złożonymi zaburzeniami komunikacji.</w:t>
            </w:r>
            <w:r w:rsidRPr="00F30DC6">
              <w:rPr>
                <w:rFonts w:ascii="Calibri" w:eastAsia="Times New Roman;Times New Roman" w:hAnsi="Calibri" w:cs="Calibri"/>
                <w:color w:val="000000"/>
                <w:sz w:val="20"/>
                <w:szCs w:val="20"/>
              </w:rPr>
              <w:t xml:space="preserve"> </w:t>
            </w:r>
            <w:hyperlink r:id="rId11">
              <w:r w:rsidRPr="00F30DC6">
                <w:rPr>
                  <w:rStyle w:val="Hipercze"/>
                  <w:rFonts w:ascii="Calibri" w:hAnsi="Calibri" w:cs="Calibri"/>
                  <w:color w:val="000000"/>
                  <w:sz w:val="20"/>
                  <w:szCs w:val="20"/>
                  <w:u w:val="none"/>
                  <w:shd w:val="clear" w:color="auto" w:fill="FFFFFF"/>
                </w:rPr>
                <w:t xml:space="preserve">Stowarzyszenie Rehabilitacyjne Centrum Rozwoju Porozumiewania. </w:t>
              </w:r>
            </w:hyperlink>
          </w:p>
          <w:p w:rsidR="00C9415C" w:rsidRPr="003F2F00" w:rsidRDefault="0044732F" w:rsidP="00F30DC6">
            <w:pPr>
              <w:pStyle w:val="Akapitzlist"/>
              <w:numPr>
                <w:ilvl w:val="0"/>
                <w:numId w:val="10"/>
              </w:numPr>
              <w:ind w:left="422" w:hanging="284"/>
            </w:pPr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Ponadto: strony internetowe Fundacji </w:t>
            </w:r>
            <w:proofErr w:type="spellStart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Generaacja</w:t>
            </w:r>
            <w:proofErr w:type="spellEnd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proofErr w:type="spellStart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Pyramid</w:t>
            </w:r>
            <w:proofErr w:type="spellEnd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Educational</w:t>
            </w:r>
            <w:proofErr w:type="spellEnd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Consutlants</w:t>
            </w:r>
            <w:proofErr w:type="spellEnd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proofErr w:type="spellStart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Mówik</w:t>
            </w:r>
            <w:proofErr w:type="spellEnd"/>
            <w:r w:rsidRPr="00F30DC6">
              <w:rPr>
                <w:rStyle w:val="Hipercze"/>
                <w:rFonts w:ascii="Calibri" w:hAnsi="Calibri" w:cs="Calibri"/>
                <w:color w:val="000000"/>
                <w:sz w:val="20"/>
                <w:szCs w:val="20"/>
                <w:u w:val="none"/>
                <w:shd w:val="clear" w:color="auto" w:fill="FFFFFF"/>
              </w:rPr>
              <w:t>, itp.</w:t>
            </w:r>
          </w:p>
        </w:tc>
      </w:tr>
    </w:tbl>
    <w:p w:rsidR="00C9415C" w:rsidRDefault="0044732F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C9415C" w:rsidRDefault="0044732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9415C" w:rsidRDefault="0044732F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:rsidR="00C9415C" w:rsidRDefault="0044732F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C1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 Z</w:t>
      </w:r>
      <w:r>
        <w:rPr>
          <w:rFonts w:ascii="Calibri" w:hAnsi="Calibri" w:cs="Calibri"/>
          <w:bCs/>
          <w:color w:val="000000"/>
          <w:sz w:val="24"/>
          <w:szCs w:val="24"/>
        </w:rPr>
        <w:t>apoznanie studentów z możliwością stosowania alternatywnych i wspomagających sposobów komunikacji w procesie edukacji i rewalidacji osób z niepełnosprawnością intelektualną</w:t>
      </w:r>
      <w:r w:rsidRPr="003F2F00">
        <w:rPr>
          <w:rFonts w:ascii="Calibri" w:hAnsi="Calibri" w:cs="Calibri"/>
          <w:bCs/>
          <w:color w:val="000000"/>
          <w:sz w:val="24"/>
          <w:szCs w:val="24"/>
        </w:rPr>
        <w:t>.</w:t>
      </w:r>
    </w:p>
    <w:p w:rsidR="00C9415C" w:rsidRDefault="0044732F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C2</w:t>
      </w:r>
      <w:r>
        <w:rPr>
          <w:rFonts w:ascii="Calibri" w:hAnsi="Calibri" w:cs="Calibri"/>
          <w:b/>
          <w:iCs/>
          <w:color w:val="000000"/>
          <w:sz w:val="24"/>
          <w:szCs w:val="24"/>
        </w:rPr>
        <w:t xml:space="preserve">. </w:t>
      </w:r>
      <w:r>
        <w:rPr>
          <w:rFonts w:ascii="Calibri" w:hAnsi="Calibri" w:cs="Calibri"/>
          <w:bCs/>
          <w:iCs/>
          <w:color w:val="000000"/>
          <w:sz w:val="24"/>
          <w:szCs w:val="24"/>
        </w:rPr>
        <w:t xml:space="preserve">Zapoznanie z podstawami teoretycznymi i wynikami badań empirycznych dotyczącymi stosowania </w:t>
      </w:r>
      <w:r>
        <w:rPr>
          <w:rFonts w:ascii="Calibri" w:hAnsi="Calibri" w:cs="Calibri"/>
          <w:bCs/>
          <w:color w:val="000000"/>
          <w:sz w:val="24"/>
          <w:szCs w:val="24"/>
        </w:rPr>
        <w:t>alternatywnych i wspomagających sposobów komunikacji</w:t>
      </w:r>
      <w:r w:rsidRPr="003F2F00">
        <w:rPr>
          <w:rFonts w:ascii="Calibri" w:hAnsi="Calibri" w:cs="Calibri"/>
          <w:bCs/>
          <w:color w:val="000000"/>
          <w:sz w:val="24"/>
          <w:szCs w:val="24"/>
        </w:rPr>
        <w:t>.</w:t>
      </w:r>
    </w:p>
    <w:p w:rsidR="00C9415C" w:rsidRDefault="0044732F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C3</w:t>
      </w:r>
      <w:r w:rsidRPr="003F2F00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3F2F00">
        <w:rPr>
          <w:rFonts w:ascii="Calibri" w:hAnsi="Calibri" w:cs="Calibri"/>
          <w:bCs/>
          <w:color w:val="000000" w:themeColor="text1"/>
          <w:sz w:val="24"/>
          <w:szCs w:val="24"/>
        </w:rPr>
        <w:t>Z</w:t>
      </w:r>
      <w:r>
        <w:rPr>
          <w:rFonts w:ascii="Calibri" w:hAnsi="Calibri" w:cs="Calibri"/>
          <w:bCs/>
          <w:color w:val="000000" w:themeColor="text1"/>
          <w:sz w:val="24"/>
          <w:szCs w:val="24"/>
        </w:rPr>
        <w:t>apoznanie z uwarunkowaniami komunikacji alternatywnej</w:t>
      </w:r>
      <w:r w:rsidRPr="003F2F00">
        <w:rPr>
          <w:rFonts w:ascii="Calibri" w:hAnsi="Calibri" w:cs="Calibri"/>
          <w:bCs/>
          <w:color w:val="000000" w:themeColor="text1"/>
          <w:sz w:val="24"/>
          <w:szCs w:val="24"/>
        </w:rPr>
        <w:t>.</w:t>
      </w:r>
    </w:p>
    <w:p w:rsidR="00C9415C" w:rsidRDefault="0044732F" w:rsidP="003F2F00">
      <w:pPr>
        <w:pStyle w:val="TableParagraph"/>
        <w:spacing w:line="276" w:lineRule="auto"/>
        <w:ind w:firstLineChars="476" w:firstLine="114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Ćwiczenia</w:t>
      </w:r>
    </w:p>
    <w:p w:rsidR="00C9415C" w:rsidRDefault="0044732F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C1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  <w:r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Rozwijanie umiejętności rozpoznawania potrzeb dzieci/uczniów w zakresie stosowania </w:t>
      </w:r>
      <w:r>
        <w:rPr>
          <w:rFonts w:ascii="Calibri" w:hAnsi="Calibri" w:cs="Calibri"/>
          <w:sz w:val="24"/>
          <w:szCs w:val="24"/>
        </w:rPr>
        <w:t>alternatywnych i wspomagających sposobów komunikacji.</w:t>
      </w:r>
    </w:p>
    <w:p w:rsidR="00C9415C" w:rsidRDefault="0044732F">
      <w:pPr>
        <w:pStyle w:val="TableParagraph"/>
        <w:numPr>
          <w:ilvl w:val="0"/>
          <w:numId w:val="6"/>
        </w:numPr>
        <w:spacing w:line="276" w:lineRule="auto"/>
        <w:ind w:left="993" w:hanging="28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C2</w:t>
      </w:r>
      <w:r>
        <w:rPr>
          <w:rFonts w:ascii="Calibri" w:hAnsi="Calibri" w:cs="Calibri"/>
          <w:b/>
          <w:bCs/>
          <w:i/>
          <w:color w:val="000000" w:themeColor="text1"/>
          <w:sz w:val="24"/>
          <w:szCs w:val="24"/>
        </w:rPr>
        <w:t xml:space="preserve">. 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Rozwijanie umiejętności planowania i wdrażania </w:t>
      </w:r>
      <w:r>
        <w:rPr>
          <w:rFonts w:ascii="Calibri" w:hAnsi="Calibri" w:cs="Calibri"/>
          <w:color w:val="000000" w:themeColor="text1"/>
          <w:sz w:val="24"/>
          <w:szCs w:val="24"/>
        </w:rPr>
        <w:t>alternatywnych i wspomagających sposobów komunikacji w edukacji i terapii.</w:t>
      </w:r>
    </w:p>
    <w:p w:rsidR="00C9415C" w:rsidRDefault="00C9415C">
      <w:pPr>
        <w:pStyle w:val="TableParagraph"/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:rsidR="00C9415C" w:rsidRDefault="0044732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C9415C" w:rsidRDefault="0044732F" w:rsidP="00F30DC6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C9415C" w:rsidRDefault="0044732F" w:rsidP="00F30DC6">
      <w:pPr>
        <w:pStyle w:val="Tekstpodstawowy"/>
        <w:numPr>
          <w:ilvl w:val="0"/>
          <w:numId w:val="7"/>
        </w:numPr>
        <w:spacing w:line="276" w:lineRule="auto"/>
        <w:ind w:left="993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Zapoznanie kartą przedmiotu.</w:t>
      </w:r>
    </w:p>
    <w:p w:rsidR="00C9415C" w:rsidRDefault="0044732F" w:rsidP="00F30DC6">
      <w:pPr>
        <w:pStyle w:val="Tekstpodstawowy"/>
        <w:spacing w:line="276" w:lineRule="auto"/>
        <w:ind w:left="993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2. Wprowadzenie do problematyki filozofii wartości – wyjaśnienia terminologiczne, podstawowe rozróżnienia.</w:t>
      </w:r>
    </w:p>
    <w:p w:rsidR="00C9415C" w:rsidRDefault="0044732F" w:rsidP="00F30DC6">
      <w:pPr>
        <w:pStyle w:val="Tekstpodstawowy"/>
        <w:spacing w:line="276" w:lineRule="auto"/>
        <w:ind w:left="993"/>
        <w:rPr>
          <w:rFonts w:ascii="Calibri" w:hAnsi="Calibri" w:cstheme="minorHAnsi"/>
          <w:b w:val="0"/>
          <w:color w:val="000000" w:themeColor="text1"/>
          <w:sz w:val="24"/>
          <w:szCs w:val="24"/>
        </w:rPr>
      </w:pP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>3. Użytkownicy alternatywnych i wspomagających metod komunikacji</w:t>
      </w:r>
      <w:r w:rsidRPr="003F2F00">
        <w:rPr>
          <w:rFonts w:ascii="Calibri" w:hAnsi="Calibri" w:cstheme="minorHAnsi"/>
          <w:b w:val="0"/>
          <w:color w:val="000000" w:themeColor="text1"/>
          <w:sz w:val="24"/>
          <w:szCs w:val="24"/>
        </w:rPr>
        <w:t>.</w:t>
      </w:r>
      <w:r>
        <w:rPr>
          <w:rFonts w:ascii="Calibri" w:hAnsi="Calibri" w:cstheme="minorHAnsi"/>
          <w:b w:val="0"/>
          <w:color w:val="000000" w:themeColor="text1"/>
          <w:sz w:val="24"/>
          <w:szCs w:val="24"/>
        </w:rPr>
        <w:t xml:space="preserve"> </w:t>
      </w:r>
    </w:p>
    <w:p w:rsidR="00C9415C" w:rsidRPr="003F2F00" w:rsidRDefault="0044732F" w:rsidP="00F30DC6">
      <w:pPr>
        <w:spacing w:line="276" w:lineRule="auto"/>
        <w:ind w:left="1020"/>
        <w:rPr>
          <w:rFonts w:ascii="Calibri" w:hAnsi="Calibr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>4. Wybór właściwej metody AAC do rozwijania umiejętności porozumiewania się dzieci</w:t>
      </w:r>
      <w:r w:rsidRPr="003F2F00">
        <w:rPr>
          <w:rFonts w:ascii="Calibri" w:hAnsi="Calibri" w:cstheme="minorHAnsi"/>
          <w:bCs/>
          <w:color w:val="000000" w:themeColor="text1"/>
          <w:sz w:val="24"/>
          <w:szCs w:val="24"/>
        </w:rPr>
        <w:t>/uczniów.</w:t>
      </w:r>
    </w:p>
    <w:p w:rsidR="00C9415C" w:rsidRPr="003F2F00" w:rsidRDefault="0044732F" w:rsidP="00F30DC6">
      <w:pPr>
        <w:spacing w:line="276" w:lineRule="auto"/>
        <w:ind w:left="1020"/>
        <w:rPr>
          <w:rFonts w:ascii="Calibri" w:hAnsi="Calibr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>5. Rola AAC we wczesnym wspomaganiu rozwoju, w edukacji i terapii osób z niepełnosprawnością intelektualną różnego stopnia</w:t>
      </w:r>
      <w:r w:rsidRPr="003F2F00">
        <w:rPr>
          <w:rFonts w:ascii="Calibri" w:hAnsi="Calibri" w:cstheme="minorHAnsi"/>
          <w:bCs/>
          <w:color w:val="000000" w:themeColor="text1"/>
          <w:sz w:val="24"/>
          <w:szCs w:val="24"/>
        </w:rPr>
        <w:t>.</w:t>
      </w:r>
    </w:p>
    <w:p w:rsidR="00C9415C" w:rsidRPr="003F2F00" w:rsidRDefault="0044732F" w:rsidP="00F30DC6">
      <w:pPr>
        <w:spacing w:line="276" w:lineRule="auto"/>
        <w:ind w:left="1020"/>
        <w:rPr>
          <w:rFonts w:ascii="Calibri" w:hAnsi="Calibri" w:cstheme="minorHAnsi"/>
          <w:bCs/>
          <w:color w:val="000000" w:themeColor="text1"/>
          <w:sz w:val="24"/>
          <w:szCs w:val="24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>6. Społeczny (prawny, edukacyjny, rodzinny) kontekst stosowania AAC</w:t>
      </w:r>
      <w:r w:rsidRPr="003F2F00">
        <w:rPr>
          <w:rFonts w:ascii="Calibri" w:hAnsi="Calibri" w:cstheme="minorHAnsi"/>
          <w:bCs/>
          <w:color w:val="000000" w:themeColor="text1"/>
          <w:sz w:val="24"/>
          <w:szCs w:val="24"/>
        </w:rPr>
        <w:t>.</w:t>
      </w:r>
    </w:p>
    <w:p w:rsidR="00C9415C" w:rsidRDefault="0044732F" w:rsidP="00F30DC6">
      <w:pPr>
        <w:spacing w:line="276" w:lineRule="auto"/>
        <w:ind w:left="1020"/>
        <w:rPr>
          <w:rFonts w:ascii="Calibri" w:hAnsi="Calibri" w:cstheme="minorHAnsi"/>
          <w:bCs/>
          <w:color w:val="000000" w:themeColor="text1"/>
          <w:sz w:val="24"/>
          <w:szCs w:val="24"/>
          <w:lang w:val="en-US"/>
        </w:rPr>
      </w:pPr>
      <w:r>
        <w:rPr>
          <w:rFonts w:ascii="Calibri" w:hAnsi="Calibri" w:cstheme="minorHAnsi"/>
          <w:bCs/>
          <w:color w:val="000000" w:themeColor="text1"/>
          <w:sz w:val="24"/>
          <w:szCs w:val="24"/>
        </w:rPr>
        <w:t>7. Beneficjenci</w:t>
      </w:r>
      <w:r>
        <w:rPr>
          <w:rFonts w:ascii="Calibri" w:hAnsi="Calibri" w:cstheme="minorHAnsi"/>
          <w:bCs/>
          <w:color w:val="000000" w:themeColor="text1"/>
          <w:sz w:val="24"/>
          <w:szCs w:val="24"/>
          <w:lang w:val="en-US"/>
        </w:rPr>
        <w:t>.</w:t>
      </w:r>
    </w:p>
    <w:p w:rsidR="00C9415C" w:rsidRDefault="0044732F" w:rsidP="00F30DC6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Poznawanie indywidualnych potrzeb</w:t>
      </w:r>
      <w:r>
        <w:rPr>
          <w:rStyle w:val="normaltextrun"/>
          <w:rFonts w:ascii="Calibri" w:hAnsi="Calibri" w:cs="Calibri"/>
          <w:b w:val="0"/>
          <w:sz w:val="24"/>
          <w:szCs w:val="24"/>
        </w:rPr>
        <w:t xml:space="preserve"> dzieci/uczniów z niepełnosprawnością intelektualną </w:t>
      </w:r>
      <w:r w:rsidR="00F30DC6">
        <w:rPr>
          <w:rStyle w:val="normaltextrun"/>
          <w:rFonts w:ascii="Calibri" w:hAnsi="Calibri" w:cs="Calibri"/>
          <w:b w:val="0"/>
          <w:sz w:val="24"/>
          <w:szCs w:val="24"/>
        </w:rPr>
        <w:br/>
      </w:r>
      <w:r>
        <w:rPr>
          <w:rStyle w:val="normaltextrun"/>
          <w:rFonts w:ascii="Calibri" w:hAnsi="Calibri" w:cs="Calibri"/>
          <w:b w:val="0"/>
          <w:sz w:val="24"/>
          <w:szCs w:val="24"/>
        </w:rPr>
        <w:t>w zakresie stosowania alternatywnych i wspomagających metod komunikacji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– etapy diagnozy, przegląd narzędzi, źródła informacji.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Założenia ogólne i metodyczne procedury stosowania AAC w różnych przestrzeniach edukacji </w:t>
      </w:r>
      <w:r w:rsidR="00F30DC6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i terapii.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Strategie wprowadzania AAC dla konkretnego dziecka/ucznia oraz planowanie zajęć. </w:t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lastRenderedPageBreak/>
        <w:t xml:space="preserve">terapeutycznych i dydaktycznych z wykorzystaniem różnorodnych metod alternatywnej </w:t>
      </w:r>
      <w:r w:rsidR="00F30DC6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i wspomagającej komunikacji.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Konstruowanie indywidualnego programu rozwoju umiejętności komunikacyjnych </w:t>
      </w:r>
      <w:r w:rsidR="00F30DC6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z wykorzystaniem AAC.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Pomoce AAC niskiej technologii i sposoby ich wprowadzenia: m.in. plan aktywności wizualny, harmonogram dnia, mini harmonogramy czynności, etykietowanie otoczenia, mapy możliwości, folder osobisty, fartuszek komunikacyjny, opaski na rękę Tak/Nie.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Pomoce AAC w edukacji: m.in. tablice literowe, tablice tematyczne, tablice uczestnictwa, karty menu, karty zasad społecznych, tabliczki motywacyjne, gospodarka żetonowa, książeczki breloczki, wizualnie wspomagane opowiadania.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Pomoce AAC wysokiej technologii: m.in. zastosowanie laptopa,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smartfona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tabletu, kamerki internetowej; obsługa i tworzenie plansz komunikacyjnych w środowisku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Grid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3,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Let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</w:t>
      </w:r>
      <w:r w:rsidR="00F30DC6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me talk,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Mówik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; ułatwienia dostępu Windows,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Dasher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>, B-link.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Wykorzystanie sprzętu technicznego i specjalistycznych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peryferiów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do komunikowania: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Tobii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PC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Eye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 Go; Switch, Big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Track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, powiększona klawiatura, </w:t>
      </w:r>
      <w:proofErr w:type="spellStart"/>
      <w:r>
        <w:rPr>
          <w:rFonts w:ascii="Calibri" w:hAnsi="Calibri" w:cs="Calibri"/>
          <w:b w:val="0"/>
          <w:color w:val="000000" w:themeColor="text1"/>
          <w:sz w:val="24"/>
          <w:szCs w:val="24"/>
        </w:rPr>
        <w:t>SmartNav</w:t>
      </w:r>
      <w:proofErr w:type="spellEnd"/>
      <w:r>
        <w:rPr>
          <w:rFonts w:ascii="Calibri" w:hAnsi="Calibri" w:cs="Calibri"/>
          <w:b w:val="0"/>
          <w:color w:val="000000" w:themeColor="text1"/>
          <w:sz w:val="24"/>
          <w:szCs w:val="24"/>
        </w:rPr>
        <w:t>, E-tran.</w:t>
      </w:r>
    </w:p>
    <w:p w:rsidR="00C9415C" w:rsidRDefault="0044732F" w:rsidP="00F30DC6">
      <w:pPr>
        <w:pStyle w:val="Tekstpodstawowy"/>
        <w:numPr>
          <w:ilvl w:val="0"/>
          <w:numId w:val="8"/>
        </w:numPr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Planowanie zajęć w ramach wczesnego wspomagania rozwoju z wykorzystaniem AAC.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Planowanie zajęć rewalidacyjno-wychowawczych z wykorzystaniem AAC.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Planowanie zajęć dydaktycznych, edukacyjno-terapeutycznych z wykorzystaniem AAC.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 xml:space="preserve">Tworzenie pomocy komunikacyjnych przydatnych do realizacji zadań edukacyjnych </w:t>
      </w:r>
      <w:r w:rsidR="00F30DC6">
        <w:rPr>
          <w:rFonts w:ascii="Calibri" w:hAnsi="Calibri" w:cs="Calibri"/>
          <w:b w:val="0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b w:val="0"/>
          <w:color w:val="000000" w:themeColor="text1"/>
          <w:sz w:val="24"/>
          <w:szCs w:val="24"/>
        </w:rPr>
        <w:t>i Dbałość o efektywną komunikację z wykorzystaniem optymalnych metod AAC.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Analiza najnowszych badań  i informacji w zakresie AAC.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Sposoby monitorowania i ewaluacji programów rozwoju umiejętności komunikacyjnych.</w:t>
      </w:r>
    </w:p>
    <w:p w:rsidR="00C9415C" w:rsidRDefault="0044732F" w:rsidP="00F30DC6">
      <w:pPr>
        <w:pStyle w:val="Tekstpodstawowy"/>
        <w:numPr>
          <w:ilvl w:val="0"/>
          <w:numId w:val="8"/>
        </w:numPr>
        <w:tabs>
          <w:tab w:val="left" w:pos="1134"/>
        </w:tabs>
        <w:spacing w:line="276" w:lineRule="auto"/>
        <w:ind w:left="993" w:hanging="284"/>
        <w:rPr>
          <w:rFonts w:ascii="Calibri" w:hAnsi="Calibri" w:cs="Calibri"/>
          <w:b w:val="0"/>
          <w:color w:val="000000" w:themeColor="text1"/>
          <w:sz w:val="24"/>
          <w:szCs w:val="24"/>
        </w:rPr>
      </w:pPr>
      <w:r>
        <w:rPr>
          <w:rFonts w:ascii="Calibri" w:hAnsi="Calibri" w:cs="Calibri"/>
          <w:b w:val="0"/>
          <w:color w:val="000000" w:themeColor="text1"/>
          <w:sz w:val="24"/>
          <w:szCs w:val="24"/>
        </w:rPr>
        <w:t>Tworzenie plansz/książek komunikacyjnych dla konkretnych sytuacji lub użytkowników.</w:t>
      </w:r>
    </w:p>
    <w:p w:rsidR="00C9415C" w:rsidRDefault="00C9415C" w:rsidP="00F30DC6">
      <w:pPr>
        <w:pStyle w:val="Tekstpodstawowy"/>
        <w:spacing w:line="276" w:lineRule="auto"/>
        <w:ind w:left="709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C9415C" w:rsidRDefault="00C9415C" w:rsidP="00F30DC6">
      <w:pPr>
        <w:pStyle w:val="Tekstpodstawowy"/>
        <w:spacing w:line="276" w:lineRule="auto"/>
        <w:ind w:left="709"/>
        <w:rPr>
          <w:rFonts w:ascii="Calibri" w:hAnsi="Calibri" w:cs="Calibri"/>
          <w:b w:val="0"/>
          <w:color w:val="000000" w:themeColor="text1"/>
          <w:sz w:val="24"/>
          <w:szCs w:val="24"/>
        </w:rPr>
      </w:pPr>
    </w:p>
    <w:p w:rsidR="00C9415C" w:rsidRDefault="0044732F">
      <w:pPr>
        <w:pStyle w:val="TableParagraph"/>
        <w:numPr>
          <w:ilvl w:val="1"/>
          <w:numId w:val="5"/>
        </w:numPr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47"/>
        <w:gridCol w:w="6828"/>
        <w:gridCol w:w="1773"/>
      </w:tblGrid>
      <w:tr w:rsidR="00C9415C">
        <w:trPr>
          <w:trHeight w:val="98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C9415C" w:rsidRDefault="0044732F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51"/>
        <w:gridCol w:w="6830"/>
        <w:gridCol w:w="1775"/>
      </w:tblGrid>
      <w:tr w:rsidR="00C9415C">
        <w:trPr>
          <w:trHeight w:val="282"/>
          <w:jc w:val="center"/>
        </w:trPr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F1F8"/>
          </w:tcPr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E.1I.W3. </w:t>
            </w:r>
          </w:p>
          <w:p w:rsidR="00C9415C" w:rsidRDefault="00C9415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15C" w:rsidRDefault="0044732F">
            <w:pPr>
              <w:pStyle w:val="TableParagraph"/>
              <w:spacing w:line="276" w:lineRule="auto"/>
              <w:jc w:val="both"/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F2F0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Zna i rozumie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założenia ogólne i metodyczne procedury stosowania AAC </w:t>
            </w:r>
            <w:r w:rsid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 różnych przestrzeniach edukacji i terapii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zna i rozumie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psychologiczne aspekty edukacji i rehabilitacji osób z niepełnosprawnością intelektualną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a także genezę.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15C" w:rsidRDefault="0044732F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PSPEC_W12</w:t>
            </w:r>
          </w:p>
        </w:tc>
      </w:tr>
      <w:tr w:rsidR="00C9415C">
        <w:trPr>
          <w:trHeight w:val="285"/>
          <w:jc w:val="center"/>
        </w:trPr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F1F8"/>
          </w:tcPr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E.1I.W3.</w:t>
            </w:r>
          </w:p>
        </w:tc>
        <w:tc>
          <w:tcPr>
            <w:tcW w:w="6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15C" w:rsidRDefault="0044732F">
            <w:pPr>
              <w:spacing w:line="276" w:lineRule="auto"/>
              <w:jc w:val="both"/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Charakteryzuje psychologiczne podstawy terapii osób z niepełnosprawnością intelektualną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, zna i rozumie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sposoby rozpoznawania i realizowania potrzeb </w:t>
            </w:r>
            <w:r w:rsid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 zakresie stosowania AAC przez osoby z trudnościami w porozumiewaniu się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15C" w:rsidRDefault="0044732F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PSPEC_W14</w:t>
            </w:r>
          </w:p>
        </w:tc>
      </w:tr>
    </w:tbl>
    <w:p w:rsidR="00C9415C" w:rsidRDefault="0044732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42"/>
        <w:gridCol w:w="6823"/>
        <w:gridCol w:w="1773"/>
      </w:tblGrid>
      <w:tr w:rsidR="00C9415C">
        <w:trPr>
          <w:trHeight w:val="285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E.1I.U3. </w:t>
            </w:r>
          </w:p>
          <w:p w:rsidR="00C9415C" w:rsidRDefault="00C9415C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Potrafi a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naliz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ować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psychologiczne aspekty edukacji i rehabilitacji osób </w:t>
            </w:r>
            <w:r w:rsid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 niepełnosprawnością intelektualną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, a także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ozpozna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wać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potrzeby dzieci/uczniów z niepełnosprawnością intelektualną w zakresie stosowania alternatywnych i wspomagających metod komunikacji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P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tos</w:t>
            </w:r>
            <w:r w:rsidRP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ować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podstawy diagnostyki</w:t>
            </w:r>
            <w:r w:rsidRP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iCs/>
                <w:color w:val="000000"/>
                <w:sz w:val="21"/>
                <w:szCs w:val="21"/>
              </w:rPr>
              <w:t>PSPEC_U04</w:t>
            </w:r>
            <w:r>
              <w:rPr>
                <w:rStyle w:val="eop"/>
                <w:rFonts w:ascii="Calibri" w:hAnsi="Calibri" w:cs="Calibri"/>
                <w:iCs/>
                <w:color w:val="000000"/>
                <w:sz w:val="21"/>
                <w:szCs w:val="21"/>
              </w:rPr>
              <w:t> </w:t>
            </w:r>
          </w:p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C9415C">
        <w:trPr>
          <w:trHeight w:val="285"/>
          <w:jc w:val="center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E.1I.U3.</w:t>
            </w:r>
          </w:p>
        </w:tc>
        <w:tc>
          <w:tcPr>
            <w:tcW w:w="6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Pr="003F2F00" w:rsidRDefault="0044732F">
            <w:pPr>
              <w:rPr>
                <w:rFonts w:ascii="Calibri" w:hAnsi="Calibri" w:cs="Calibri"/>
              </w:rPr>
            </w:pP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Potrafi a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naliz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ować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i stos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ować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psychologiczne podstawy terapii osób </w:t>
            </w:r>
            <w:r w:rsidR="00F30DC6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 niepełnosprawnością intelektualną;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a także s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tos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ować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wybrane metody, techniki i programy rehabilitacji psychologicznej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 w trakcie t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worz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enia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strategi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wprowadzania AAC dla konkretnego dziecka/ucznia oraz projekt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ować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zajęcia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z wykorzystaniem różnorodnych metod alternatywnej i wspomagającej komunikacji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PSPEC_U08</w:t>
            </w:r>
          </w:p>
        </w:tc>
      </w:tr>
    </w:tbl>
    <w:p w:rsidR="00C9415C" w:rsidRDefault="0044732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51"/>
        <w:gridCol w:w="6830"/>
        <w:gridCol w:w="1775"/>
      </w:tblGrid>
      <w:tr w:rsidR="00C9415C">
        <w:trPr>
          <w:trHeight w:val="37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  <w:p w:rsidR="00C9415C" w:rsidRDefault="0044732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E.1I.K2.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 w:rsidP="00F30DC6">
            <w:pPr>
              <w:pStyle w:val="TableParagraph"/>
              <w:spacing w:line="276" w:lineRule="auto"/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Wykaz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ywania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dbałoś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ci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o efektywną komunikację, wykorzystując optymaln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zdobytą wiedzę do analizy zdarzeń pedagogicznych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rozmówcy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/użytkownika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metody AA</w:t>
            </w:r>
            <w:r w:rsidRPr="003F2F00"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C.</w:t>
            </w:r>
            <w:r>
              <w:rPr>
                <w:rStyle w:val="normaltextrun"/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jc w:val="center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PSPEC_K01</w:t>
            </w:r>
          </w:p>
        </w:tc>
      </w:tr>
    </w:tbl>
    <w:p w:rsidR="00C9415C" w:rsidRDefault="0044732F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C9415C" w:rsidRDefault="0044732F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612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230"/>
        <w:gridCol w:w="1228"/>
        <w:gridCol w:w="1227"/>
        <w:gridCol w:w="1228"/>
        <w:gridCol w:w="1228"/>
        <w:gridCol w:w="1226"/>
      </w:tblGrid>
      <w:tr w:rsidR="00F30DC6" w:rsidTr="00F30DC6">
        <w:trPr>
          <w:jc w:val="center"/>
        </w:trPr>
        <w:tc>
          <w:tcPr>
            <w:tcW w:w="1245" w:type="dxa"/>
            <w:shd w:val="clear" w:color="auto" w:fill="ECF1F8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0" w:type="dxa"/>
            <w:vAlign w:val="center"/>
          </w:tcPr>
          <w:p w:rsidR="00F30DC6" w:rsidRDefault="00F30DC6" w:rsidP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228" w:type="dxa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6" w:type="dxa"/>
            <w:vAlign w:val="center"/>
          </w:tcPr>
          <w:p w:rsidR="00F30DC6" w:rsidRDefault="00F30DC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C9415C" w:rsidRDefault="0044732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8597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10"/>
        <w:gridCol w:w="410"/>
        <w:gridCol w:w="408"/>
        <w:gridCol w:w="409"/>
        <w:gridCol w:w="410"/>
        <w:gridCol w:w="407"/>
        <w:gridCol w:w="409"/>
        <w:gridCol w:w="411"/>
        <w:gridCol w:w="407"/>
        <w:gridCol w:w="410"/>
        <w:gridCol w:w="410"/>
        <w:gridCol w:w="408"/>
        <w:gridCol w:w="409"/>
        <w:gridCol w:w="411"/>
        <w:gridCol w:w="403"/>
      </w:tblGrid>
      <w:tr w:rsidR="00F30DC6" w:rsidTr="00F30DC6">
        <w:trPr>
          <w:jc w:val="center"/>
        </w:trPr>
        <w:tc>
          <w:tcPr>
            <w:tcW w:w="1237" w:type="dxa"/>
          </w:tcPr>
          <w:p w:rsidR="00F30DC6" w:rsidRDefault="00F30DC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:rsidR="00F30DC6" w:rsidRDefault="00F30DC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F30DC6" w:rsidRDefault="00F30DC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3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F30DC6" w:rsidTr="00F30DC6">
        <w:trPr>
          <w:jc w:val="center"/>
        </w:trPr>
        <w:tc>
          <w:tcPr>
            <w:tcW w:w="1237" w:type="dxa"/>
            <w:shd w:val="clear" w:color="auto" w:fill="ECF1F8"/>
          </w:tcPr>
          <w:p w:rsidR="00F30DC6" w:rsidRDefault="00F30DC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0DC6" w:rsidTr="00F30DC6">
        <w:trPr>
          <w:jc w:val="center"/>
        </w:trPr>
        <w:tc>
          <w:tcPr>
            <w:tcW w:w="1237" w:type="dxa"/>
            <w:shd w:val="clear" w:color="auto" w:fill="ECF1F8"/>
          </w:tcPr>
          <w:p w:rsidR="00F30DC6" w:rsidRDefault="00F30DC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0DC6" w:rsidTr="00F30DC6">
        <w:trPr>
          <w:jc w:val="center"/>
        </w:trPr>
        <w:tc>
          <w:tcPr>
            <w:tcW w:w="1237" w:type="dxa"/>
            <w:shd w:val="clear" w:color="auto" w:fill="ECF1F8"/>
          </w:tcPr>
          <w:p w:rsidR="00F30DC6" w:rsidRDefault="00F30DC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30DC6" w:rsidTr="00F30DC6">
        <w:trPr>
          <w:jc w:val="center"/>
        </w:trPr>
        <w:tc>
          <w:tcPr>
            <w:tcW w:w="1237" w:type="dxa"/>
            <w:shd w:val="clear" w:color="auto" w:fill="ECF1F8"/>
          </w:tcPr>
          <w:p w:rsidR="00F30DC6" w:rsidRDefault="00F30DC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3" w:type="dxa"/>
          </w:tcPr>
          <w:p w:rsidR="00F30DC6" w:rsidRDefault="00F30D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C9415C" w:rsidRDefault="0044732F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C9415C" w:rsidRDefault="0044732F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C9415C" w:rsidRDefault="0044732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9415C" w:rsidRDefault="0044732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</w:t>
            </w:r>
            <w:r w:rsidR="0044732F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 za punkty z egzaminu pisemnego </w:t>
            </w:r>
          </w:p>
        </w:tc>
      </w:tr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 do 70%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punkty z egzaminu pisemnego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i aktywność podczas wykładu </w:t>
            </w:r>
          </w:p>
        </w:tc>
      </w:tr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 w:rsidR="0044732F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80%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punkty z egzaminu pisemnego i aktywność podczas wykładu</w:t>
            </w:r>
          </w:p>
        </w:tc>
      </w:tr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</w:t>
            </w:r>
            <w:r w:rsidR="0044732F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punkty z egzaminu pisemnego i aktywność podczas wykładu</w:t>
            </w:r>
          </w:p>
        </w:tc>
      </w:tr>
      <w:tr w:rsidR="00C9415C">
        <w:trPr>
          <w:jc w:val="center"/>
        </w:trPr>
        <w:tc>
          <w:tcPr>
            <w:tcW w:w="96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:rsidR="00C9415C" w:rsidRDefault="0044732F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Pr="003F2F00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do 100% </w:t>
            </w:r>
            <w:r w:rsidR="00F30DC6"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punkty z egzaminu pisemnego i aktywność podczas wykładu</w:t>
            </w:r>
          </w:p>
        </w:tc>
      </w:tr>
    </w:tbl>
    <w:p w:rsidR="00C9415C" w:rsidRDefault="0044732F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9415C" w:rsidRDefault="0044732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8872"/>
      </w:tblGrid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1" w:type="dxa"/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 do 60% punktów z kolokwium i projektu</w:t>
            </w:r>
          </w:p>
        </w:tc>
      </w:tr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1" w:type="dxa"/>
            <w:tcBorders>
              <w:top w:val="nil"/>
            </w:tcBorders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 do 70%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z kolokwium i projektu</w:t>
            </w:r>
          </w:p>
        </w:tc>
      </w:tr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1" w:type="dxa"/>
            <w:tcBorders>
              <w:top w:val="nil"/>
            </w:tcBorders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 do 80%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z kolokwium i projektu</w:t>
            </w:r>
          </w:p>
        </w:tc>
      </w:tr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1" w:type="dxa"/>
            <w:tcBorders>
              <w:top w:val="nil"/>
            </w:tcBorders>
          </w:tcPr>
          <w:p w:rsidR="00C9415C" w:rsidRDefault="00F30DC6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 do 90% </w:t>
            </w:r>
            <w:r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z kolokwium i projektu</w:t>
            </w:r>
          </w:p>
        </w:tc>
      </w:tr>
      <w:tr w:rsidR="00C9415C">
        <w:trPr>
          <w:jc w:val="center"/>
        </w:trPr>
        <w:tc>
          <w:tcPr>
            <w:tcW w:w="951" w:type="dxa"/>
          </w:tcPr>
          <w:p w:rsidR="00C9415C" w:rsidRDefault="0044732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1" w:type="dxa"/>
            <w:tcBorders>
              <w:top w:val="nil"/>
            </w:tcBorders>
          </w:tcPr>
          <w:p w:rsidR="00C9415C" w:rsidRDefault="0044732F" w:rsidP="00F30D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30DC6" w:rsidRPr="00F30DC6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z kolokwium i projektu</w:t>
            </w:r>
            <w:bookmarkStart w:id="1" w:name="_GoBack"/>
            <w:bookmarkEnd w:id="1"/>
          </w:p>
        </w:tc>
      </w:tr>
    </w:tbl>
    <w:p w:rsidR="00C9415C" w:rsidRDefault="0044732F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497"/>
        <w:gridCol w:w="2174"/>
        <w:gridCol w:w="2173"/>
      </w:tblGrid>
      <w:tr w:rsidR="00C9415C">
        <w:trPr>
          <w:trHeight w:val="460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C9415C">
        <w:trPr>
          <w:trHeight w:val="41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 (GODZINY 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C9415C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C9415C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C9415C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95</w:t>
            </w:r>
          </w:p>
        </w:tc>
      </w:tr>
      <w:tr w:rsidR="00C9415C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C9415C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C9415C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C9415C">
        <w:trPr>
          <w:trHeight w:val="282"/>
          <w:jc w:val="center"/>
        </w:trPr>
        <w:tc>
          <w:tcPr>
            <w:tcW w:w="5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Przygotowanie projektu</w:t>
            </w:r>
          </w:p>
        </w:tc>
        <w:tc>
          <w:tcPr>
            <w:tcW w:w="2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C9415C">
        <w:trPr>
          <w:trHeight w:val="282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</w:tr>
      <w:tr w:rsidR="00C9415C">
        <w:trPr>
          <w:trHeight w:val="285"/>
          <w:jc w:val="center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9415C" w:rsidRDefault="0044732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9415C" w:rsidRDefault="0044732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</w:tbl>
    <w:p w:rsidR="00C9415C" w:rsidRDefault="0044732F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C9415C" w:rsidRDefault="0044732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C9415C" w:rsidSect="00F30DC6">
      <w:pgSz w:w="11906" w:h="16838"/>
      <w:pgMar w:top="720" w:right="1274" w:bottom="720" w:left="7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69A" w:rsidRDefault="0044732F">
      <w:r>
        <w:separator/>
      </w:r>
    </w:p>
  </w:endnote>
  <w:endnote w:type="continuationSeparator" w:id="0">
    <w:p w:rsidR="00DC169A" w:rsidRDefault="0044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altName w:val="Times New Roman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Times New Roman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5C" w:rsidRDefault="0044732F">
      <w:r>
        <w:separator/>
      </w:r>
    </w:p>
  </w:footnote>
  <w:footnote w:type="continuationSeparator" w:id="0">
    <w:p w:rsidR="00C9415C" w:rsidRDefault="0044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4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5760" w:hanging="1440"/>
      </w:p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3.%1."/>
      <w:lvlJc w:val="left"/>
      <w:pPr>
        <w:tabs>
          <w:tab w:val="left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>
    <w:nsid w:val="0053208E"/>
    <w:multiLevelType w:val="multilevel"/>
    <w:tmpl w:val="0053208E"/>
    <w:lvl w:ilvl="0">
      <w:start w:val="1"/>
      <w:numFmt w:val="decimal"/>
      <w:pStyle w:val="Nagwek2"/>
      <w:lvlText w:val="%1."/>
      <w:lvlJc w:val="left"/>
      <w:pPr>
        <w:tabs>
          <w:tab w:val="left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90" w:hanging="180"/>
      </w:pPr>
    </w:lvl>
  </w:abstractNum>
  <w:abstractNum w:abstractNumId="4">
    <w:nsid w:val="03D62ECE"/>
    <w:multiLevelType w:val="multilevel"/>
    <w:tmpl w:val="03D62ECE"/>
    <w:lvl w:ilvl="0">
      <w:start w:val="1"/>
      <w:numFmt w:val="bullet"/>
      <w:lvlText w:val="•"/>
      <w:lvlJc w:val="left"/>
      <w:pPr>
        <w:tabs>
          <w:tab w:val="left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5">
    <w:nsid w:val="061F9FF3"/>
    <w:multiLevelType w:val="singleLevel"/>
    <w:tmpl w:val="061F9FF3"/>
    <w:lvl w:ilvl="0">
      <w:start w:val="1"/>
      <w:numFmt w:val="decimal"/>
      <w:suff w:val="space"/>
      <w:lvlText w:val="%1."/>
      <w:lvlJc w:val="left"/>
    </w:lvl>
  </w:abstractNum>
  <w:abstractNum w:abstractNumId="6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756" w:hanging="180"/>
      </w:pPr>
    </w:lvl>
  </w:abstractNum>
  <w:abstractNum w:abstractNumId="7">
    <w:nsid w:val="2F5171E9"/>
    <w:multiLevelType w:val="hybridMultilevel"/>
    <w:tmpl w:val="9E2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A77F9"/>
    <w:multiLevelType w:val="hybridMultilevel"/>
    <w:tmpl w:val="B388FF3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ADCABA"/>
    <w:multiLevelType w:val="multilevel"/>
    <w:tmpl w:val="59ADCABA"/>
    <w:lvl w:ilvl="0">
      <w:start w:val="1"/>
      <w:numFmt w:val="decimal"/>
      <w:lvlText w:val="2.%1."/>
      <w:lvlJc w:val="left"/>
      <w:pPr>
        <w:tabs>
          <w:tab w:val="left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87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F2F00"/>
    <w:rsid w:val="0044732F"/>
    <w:rsid w:val="00C9415C"/>
    <w:rsid w:val="00DC169A"/>
    <w:rsid w:val="00F30DC6"/>
    <w:rsid w:val="040040A0"/>
    <w:rsid w:val="100760F2"/>
    <w:rsid w:val="1D7E5EBE"/>
    <w:rsid w:val="2AD651B5"/>
    <w:rsid w:val="50F5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qFormat/>
    <w:rPr>
      <w:color w:val="954F72"/>
      <w:u w:val="single"/>
    </w:rPr>
  </w:style>
  <w:style w:type="character" w:styleId="Hipercze">
    <w:name w:val="Hyperlink"/>
    <w:qFormat/>
    <w:rPr>
      <w:color w:val="0066CC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Domylnaczcionkaakapitu1">
    <w:name w:val="Domyślna czcionka akapitu1"/>
    <w:qFormat/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1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qFormat/>
    <w:rPr>
      <w:color w:val="954F72"/>
      <w:u w:val="single"/>
    </w:rPr>
  </w:style>
  <w:style w:type="character" w:styleId="Hipercze">
    <w:name w:val="Hyperlink"/>
    <w:qFormat/>
    <w:rPr>
      <w:color w:val="0066CC"/>
      <w:u w:val="single"/>
    </w:rPr>
  </w:style>
  <w:style w:type="paragraph" w:styleId="Lista">
    <w:name w:val="List"/>
    <w:basedOn w:val="Tekstpodstawowy"/>
    <w:qFormat/>
    <w:rPr>
      <w:rFonts w:cs="Lucida Sans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Domylnaczcionkaakapitu1">
    <w:name w:val="Domyślna czcionka akapitu1"/>
    <w:qFormat/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1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c.pionier.net.pl/search/query?q=dc_publisher%3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080/07434618.2025.255885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080/07434618.2025.254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47DA6-7B78-4BD1-B7BC-C2078EBA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1470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2025-12-11T11:01:00Z</dcterms:created>
  <dcterms:modified xsi:type="dcterms:W3CDTF">2026-06-29T16:05:00Z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79EE4E3D1B8F4E77B337A18BF16E54DA_13</vt:lpwstr>
  </property>
</Properties>
</file>