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AE5D89" w:rsidRDefault="00AE5D89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AE5D89" w:rsidRDefault="0063574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35D3533F" w14:textId="77777777" w:rsidR="00AE5D89" w:rsidRDefault="0063574D" w:rsidP="008559FC">
      <w:pPr>
        <w:pStyle w:val="Tekstpodstawowy"/>
        <w:tabs>
          <w:tab w:val="left" w:leader="dot" w:pos="10065"/>
        </w:tabs>
        <w:spacing w:before="240" w:after="240" w:line="276" w:lineRule="auto"/>
        <w:ind w:firstLineChars="450" w:firstLine="1084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 xml:space="preserve"> 0113.1.PSP.E3.PZSAPZRWDMGNI</w:t>
      </w:r>
    </w:p>
    <w:p w14:paraId="67EEA8D0" w14:textId="77777777" w:rsidR="00AE5D89" w:rsidRDefault="0063574D" w:rsidP="008559FC">
      <w:pPr>
        <w:pStyle w:val="Tekstpodstawowy"/>
        <w:tabs>
          <w:tab w:val="left" w:leader="dot" w:pos="10065"/>
        </w:tabs>
        <w:spacing w:before="240" w:after="240" w:line="276" w:lineRule="auto"/>
        <w:ind w:firstLineChars="1450" w:firstLine="3494"/>
        <w:rPr>
          <w:rFonts w:ascii="Calibri" w:hAnsi="Calibri" w:cstheme="minorHAns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0113.1.PSP.E3.PZCAPZRWDMGNI</w:t>
      </w:r>
    </w:p>
    <w:p w14:paraId="7655ACA8" w14:textId="77777777" w:rsidR="00AE5D89" w:rsidRDefault="0063574D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Praktyka zawodowa śródroczna - asystencko-pedagogiczna w zespołach rewalidacyjno-wychowawczych dla dzieci i młodzieży z głęboką niepełnosprawnością intelektualną (studia stacjonarne)</w:t>
      </w:r>
    </w:p>
    <w:p w14:paraId="66E4A8BE" w14:textId="77777777" w:rsidR="00AE5D89" w:rsidRDefault="0063574D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Praktyka zawodowa ciągła - asystencko-pedagogiczna w zespołach rewalidacyjno-wychowawczych dla dzieci i młodzieży z głęboką niepełnosprawnością intelektualną (studia niestacjonarne)</w:t>
      </w:r>
    </w:p>
    <w:p w14:paraId="44CA3D06" w14:textId="77777777" w:rsidR="00AE5D89" w:rsidRPr="008559FC" w:rsidRDefault="0063574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: Mid-Year Professional Assistance and Pedagogical Practice in Revalidation and Upbringing 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Centres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 for Children and Youth with Profound Intellectual Disability</w:t>
      </w:r>
    </w:p>
    <w:p w14:paraId="54F2B285" w14:textId="77777777" w:rsidR="00AE5D89" w:rsidRPr="008559FC" w:rsidRDefault="0063574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r w:rsidRPr="008559FC">
        <w:rPr>
          <w:b/>
          <w:bCs/>
          <w:i w:val="0"/>
          <w:iCs/>
          <w:color w:val="000000" w:themeColor="text1"/>
          <w:lang w:val="en-US"/>
        </w:rPr>
        <w:t xml:space="preserve">Continuous Professional Assistance and Pedagogical Practice in Revalidation and Upbringing </w:t>
      </w:r>
      <w:proofErr w:type="spellStart"/>
      <w:r w:rsidRPr="008559FC">
        <w:rPr>
          <w:b/>
          <w:bCs/>
          <w:i w:val="0"/>
          <w:iCs/>
          <w:color w:val="000000" w:themeColor="text1"/>
          <w:lang w:val="en-US"/>
        </w:rPr>
        <w:t>Centres</w:t>
      </w:r>
      <w:proofErr w:type="spellEnd"/>
      <w:r w:rsidRPr="008559FC">
        <w:rPr>
          <w:b/>
          <w:bCs/>
          <w:i w:val="0"/>
          <w:iCs/>
          <w:color w:val="000000" w:themeColor="text1"/>
          <w:lang w:val="en-US"/>
        </w:rPr>
        <w:t xml:space="preserve"> for Children and Youth with Profound Intellectual Disability</w:t>
      </w:r>
    </w:p>
    <w:p w14:paraId="200D17D0" w14:textId="77777777" w:rsidR="00AE5D89" w:rsidRDefault="0063574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AE5D89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AE5D89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AE5D89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AE5D89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6D77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AE5D89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 xml:space="preserve">dr Paweł </w:t>
            </w:r>
            <w:proofErr w:type="spellStart"/>
            <w:r w:rsidRPr="00606D77">
              <w:rPr>
                <w:rFonts w:ascii="Calibri" w:hAnsi="Calibri" w:cs="Calibri"/>
                <w:sz w:val="21"/>
                <w:szCs w:val="21"/>
              </w:rPr>
              <w:t>Garbuzik</w:t>
            </w:r>
            <w:proofErr w:type="spellEnd"/>
            <w:r w:rsidRPr="00606D77">
              <w:rPr>
                <w:rFonts w:ascii="Calibri" w:hAnsi="Calibri" w:cs="Calibri"/>
                <w:sz w:val="21"/>
                <w:szCs w:val="21"/>
              </w:rPr>
              <w:t>/mgr Inga Staszowska</w:t>
            </w:r>
          </w:p>
        </w:tc>
      </w:tr>
      <w:tr w:rsidR="00AE5D89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AE5D89" w:rsidRDefault="0063574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pawel.garbuzik@ujk.edu.pl/inga.staszowska@ujk.edu.pl</w:t>
            </w:r>
          </w:p>
        </w:tc>
      </w:tr>
    </w:tbl>
    <w:p w14:paraId="6A65F952" w14:textId="77777777" w:rsidR="00AE5D89" w:rsidRDefault="0063574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AE5D89" w14:paraId="72CDF286" w14:textId="77777777">
        <w:trPr>
          <w:trHeight w:val="285"/>
          <w:jc w:val="center"/>
        </w:trPr>
        <w:tc>
          <w:tcPr>
            <w:tcW w:w="3467" w:type="dxa"/>
          </w:tcPr>
          <w:p w14:paraId="17BF9550" w14:textId="77777777" w:rsidR="00AE5D89" w:rsidRDefault="0063574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AE5D89" w:rsidRDefault="0063574D" w:rsidP="008559F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AE5D89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AE5D89" w:rsidRDefault="0063574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92D3DD" w14:textId="77777777" w:rsidR="00AE5D89" w:rsidRPr="00606D77" w:rsidRDefault="0063574D" w:rsidP="00606D77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 xml:space="preserve">Pedagogika specjalna </w:t>
            </w:r>
          </w:p>
          <w:p w14:paraId="47D67DC8" w14:textId="77777777" w:rsidR="00AE5D89" w:rsidRPr="00606D77" w:rsidRDefault="0063574D" w:rsidP="00606D77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Subdyscypliny pedagogiki specjalnej</w:t>
            </w:r>
          </w:p>
          <w:p w14:paraId="0AA439DA" w14:textId="77777777" w:rsidR="00AE5D89" w:rsidRPr="00606D77" w:rsidRDefault="0063574D" w:rsidP="00606D77">
            <w:pPr>
              <w:spacing w:line="276" w:lineRule="auto"/>
              <w:ind w:left="2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Psychologia rozwojowa dzieci i młodzieży ze specjalnymi potrzebami edukacyjnymi </w:t>
            </w:r>
          </w:p>
          <w:p w14:paraId="20F34F8F" w14:textId="77777777" w:rsidR="00AE5D89" w:rsidRPr="00606D77" w:rsidRDefault="0063574D" w:rsidP="00606D77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Psychologia wychowawcza dzieci i młodzieży ze specjalnymi potrzebami edukacyjnymi</w:t>
            </w:r>
            <w:r w:rsidRPr="00606D77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46708CCD" w14:textId="77777777" w:rsidR="00AE5D89" w:rsidRDefault="0063574D" w:rsidP="00606D77">
            <w:pPr>
              <w:pStyle w:val="TableParagraph"/>
              <w:spacing w:line="276" w:lineRule="auto"/>
              <w:ind w:left="283" w:right="183"/>
              <w:rPr>
                <w:rFonts w:ascii="Calibri" w:hAnsi="Calibri" w:cs="Calibri"/>
                <w:sz w:val="20"/>
                <w:szCs w:val="20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Praktyka zawodowa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ciągła - obserwacyjna w przedszkolu/w szkole</w:t>
            </w:r>
          </w:p>
        </w:tc>
      </w:tr>
    </w:tbl>
    <w:p w14:paraId="45CD045B" w14:textId="77777777" w:rsidR="00AE5D89" w:rsidRDefault="0063574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AE5D89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AE5D89" w:rsidRDefault="0063574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AE5D89" w:rsidRPr="00606D77" w:rsidRDefault="0063574D" w:rsidP="00606D7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 xml:space="preserve">Ćwiczenia praktyczne </w:t>
            </w:r>
          </w:p>
        </w:tc>
      </w:tr>
      <w:tr w:rsidR="00AE5D89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AE5D89" w:rsidRDefault="0063574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202D4158" w:rsidR="00AE5D89" w:rsidRPr="00606D77" w:rsidRDefault="0063574D" w:rsidP="00606D77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="Calibri" w:hAnsi="Calibri" w:cs="Calibri"/>
                <w:iCs/>
                <w:color w:val="000000" w:themeColor="text1"/>
              </w:rPr>
            </w:pPr>
            <w:r w:rsidRPr="00606D77">
              <w:rPr>
                <w:rFonts w:ascii="Calibri" w:hAnsi="Calibri" w:cs="Calibri"/>
                <w:lang w:val="pl"/>
              </w:rPr>
              <w:t>Zajęcia w terenie /</w:t>
            </w:r>
            <w:r w:rsidRPr="00606D77">
              <w:rPr>
                <w:rFonts w:ascii="Calibri" w:hAnsi="Calibri" w:cs="Calibri"/>
              </w:rPr>
              <w:t xml:space="preserve">w zespołach rewalidacyjno-wychowawczych dla dzieci </w:t>
            </w:r>
            <w:r w:rsidR="008559FC" w:rsidRPr="00606D77">
              <w:rPr>
                <w:rFonts w:ascii="Calibri" w:hAnsi="Calibri" w:cs="Calibri"/>
              </w:rPr>
              <w:br/>
            </w:r>
            <w:r w:rsidRPr="00606D77">
              <w:rPr>
                <w:rFonts w:ascii="Calibri" w:hAnsi="Calibri" w:cs="Calibri"/>
              </w:rPr>
              <w:t>i młodzieży z głęboką ni</w:t>
            </w:r>
            <w:r w:rsidR="00606D77" w:rsidRPr="00606D77">
              <w:rPr>
                <w:rFonts w:ascii="Calibri" w:hAnsi="Calibri" w:cs="Calibri"/>
              </w:rPr>
              <w:t>epełnosprawnością intelektualną</w:t>
            </w:r>
          </w:p>
        </w:tc>
      </w:tr>
      <w:tr w:rsidR="00AE5D89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AE5D89" w:rsidRDefault="0063574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AE5D89" w:rsidRPr="00606D77" w:rsidRDefault="0063574D" w:rsidP="00606D77">
            <w:pPr>
              <w:spacing w:line="276" w:lineRule="auto"/>
              <w:ind w:left="-2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AE5D89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AE5D89" w:rsidRDefault="0063574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095A7F6" w14:textId="77777777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>Metody podające: instruktaż, objaśnienie</w:t>
            </w:r>
          </w:p>
          <w:p w14:paraId="0E3FF750" w14:textId="77777777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>Metody problemowe: klasyczna metoda problemowa, dyskusja</w:t>
            </w:r>
          </w:p>
          <w:p w14:paraId="6DCE5A28" w14:textId="77777777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>Metody eksponujące: pokaz</w:t>
            </w:r>
          </w:p>
          <w:p w14:paraId="2CD8E75B" w14:textId="77777777" w:rsidR="00AE5D89" w:rsidRPr="00606D77" w:rsidRDefault="0063574D" w:rsidP="00606D77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>Metody praktyczne: działania praktyczne</w:t>
            </w:r>
          </w:p>
        </w:tc>
      </w:tr>
      <w:tr w:rsidR="00AE5D89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AE5D89" w:rsidRDefault="0063574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E7E4211" w14:textId="1A8F61C7" w:rsidR="00AE5D89" w:rsidRPr="00606D77" w:rsidRDefault="0063574D" w:rsidP="00606D77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r w:rsidRPr="00606D77">
              <w:rPr>
                <w:rFonts w:ascii="Calibri" w:hAnsi="Calibri"/>
                <w:sz w:val="21"/>
                <w:szCs w:val="21"/>
              </w:rPr>
              <w:t xml:space="preserve">Aksamit, D., Rola, J. (2023). Głęboka niepełnosprawność intelektualna </w:t>
            </w:r>
            <w:r w:rsidR="008559FC" w:rsidRPr="00606D77">
              <w:rPr>
                <w:rFonts w:ascii="Calibri" w:hAnsi="Calibri"/>
                <w:sz w:val="21"/>
                <w:szCs w:val="21"/>
              </w:rPr>
              <w:br/>
            </w:r>
            <w:r w:rsidRPr="00606D77">
              <w:rPr>
                <w:rFonts w:ascii="Calibri" w:hAnsi="Calibri"/>
                <w:sz w:val="21"/>
                <w:szCs w:val="21"/>
              </w:rPr>
              <w:lastRenderedPageBreak/>
              <w:t xml:space="preserve">w definicyjnym zwierciadle. </w:t>
            </w:r>
            <w:r w:rsidRPr="00606D77">
              <w:rPr>
                <w:rFonts w:ascii="Calibri" w:hAnsi="Calibri"/>
                <w:iCs/>
                <w:sz w:val="21"/>
                <w:szCs w:val="21"/>
              </w:rPr>
              <w:t>Niepełnosprawność,</w:t>
            </w:r>
            <w:r w:rsidRPr="00606D77">
              <w:rPr>
                <w:rFonts w:ascii="Calibri" w:hAnsi="Calibri"/>
                <w:sz w:val="21"/>
                <w:szCs w:val="21"/>
              </w:rPr>
              <w:t xml:space="preserve"> (51), 116-130.</w:t>
            </w:r>
          </w:p>
          <w:p w14:paraId="39CEF024" w14:textId="77777777" w:rsidR="00AE5D89" w:rsidRPr="00606D77" w:rsidRDefault="0063574D" w:rsidP="00606D77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r w:rsidRPr="00606D77">
              <w:rPr>
                <w:rFonts w:ascii="Calibri" w:hAnsi="Calibri" w:cs="Calibri"/>
                <w:sz w:val="21"/>
                <w:szCs w:val="21"/>
              </w:rPr>
              <w:t xml:space="preserve">Chrzanowska, I. (2015). </w:t>
            </w:r>
            <w:r w:rsidRPr="00606D77">
              <w:rPr>
                <w:rFonts w:ascii="Calibri" w:hAnsi="Calibri" w:cs="Calibri"/>
                <w:iCs/>
                <w:sz w:val="21"/>
                <w:szCs w:val="21"/>
              </w:rPr>
              <w:t>Pedagogika specjalna. Od tradycji do współczesności.</w:t>
            </w:r>
            <w:r w:rsidRPr="00606D77">
              <w:rPr>
                <w:rFonts w:ascii="Calibri" w:hAnsi="Calibri" w:cs="Calibri"/>
                <w:sz w:val="21"/>
                <w:szCs w:val="21"/>
              </w:rPr>
              <w:t xml:space="preserve"> Oficyna Wydawnicza Impuls.</w:t>
            </w:r>
          </w:p>
          <w:p w14:paraId="061E565D" w14:textId="77777777" w:rsidR="00AE5D89" w:rsidRPr="00606D77" w:rsidRDefault="0063574D" w:rsidP="00606D77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 xml:space="preserve">Dyrda, J., Liwo, H., Materny, K. (2020). </w:t>
            </w:r>
            <w:r w:rsidRPr="00606D77">
              <w:rPr>
                <w:rFonts w:ascii="Calibri" w:hAnsi="Calibri" w:cs="Calibri"/>
                <w:bCs/>
                <w:iCs/>
                <w:sz w:val="21"/>
                <w:szCs w:val="21"/>
              </w:rPr>
              <w:t>Uczeń ze specjalnymi potrzebami edukacyjnymi w refleksji i działaniu nauczyciela. Wybrane zagadnienia.</w:t>
            </w: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 xml:space="preserve"> Wydawnictwo Adam Marszałek.</w:t>
            </w:r>
          </w:p>
          <w:p w14:paraId="6421D34F" w14:textId="5CF7694C" w:rsidR="00AE5D89" w:rsidRPr="00606D77" w:rsidRDefault="0063574D" w:rsidP="00606D77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/>
                <w:bCs/>
                <w:sz w:val="21"/>
                <w:szCs w:val="21"/>
              </w:rPr>
              <w:t xml:space="preserve">Kopeć, D. (2024). Etyka troski a doświadczenie bycia z osobą </w:t>
            </w:r>
            <w:r w:rsidR="008559FC" w:rsidRPr="00606D77">
              <w:rPr>
                <w:rFonts w:ascii="Calibri" w:hAnsi="Calibri"/>
                <w:bCs/>
                <w:sz w:val="21"/>
                <w:szCs w:val="21"/>
              </w:rPr>
              <w:br/>
            </w:r>
            <w:r w:rsidRPr="00606D77">
              <w:rPr>
                <w:rFonts w:ascii="Calibri" w:hAnsi="Calibri"/>
                <w:bCs/>
                <w:sz w:val="21"/>
                <w:szCs w:val="21"/>
              </w:rPr>
              <w:t xml:space="preserve">z głęboką intelektualną i wieloraką niepełnosprawnością. </w:t>
            </w:r>
            <w:r w:rsidRPr="00606D77">
              <w:rPr>
                <w:rFonts w:ascii="Calibri" w:hAnsi="Calibri"/>
                <w:bCs/>
                <w:iCs/>
                <w:sz w:val="21"/>
                <w:szCs w:val="21"/>
              </w:rPr>
              <w:t>Rocznik Pedagogiczny, 47</w:t>
            </w:r>
            <w:r w:rsidRPr="00606D77">
              <w:rPr>
                <w:rFonts w:ascii="Calibri" w:hAnsi="Calibri"/>
                <w:bCs/>
                <w:sz w:val="21"/>
                <w:szCs w:val="21"/>
              </w:rPr>
              <w:t>, 7-20.</w:t>
            </w:r>
          </w:p>
          <w:p w14:paraId="46AF18D1" w14:textId="77777777" w:rsidR="00AE5D89" w:rsidRPr="00606D77" w:rsidRDefault="0063574D" w:rsidP="00606D77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sz w:val="21"/>
                <w:szCs w:val="21"/>
              </w:rPr>
              <w:t xml:space="preserve">Kościółek, M., Wolska, D. (2018). </w:t>
            </w:r>
            <w:r w:rsidRPr="00606D77">
              <w:rPr>
                <w:rFonts w:ascii="Calibri" w:hAnsi="Calibri"/>
                <w:bCs/>
                <w:iCs/>
                <w:sz w:val="21"/>
                <w:szCs w:val="21"/>
              </w:rPr>
              <w:t>Możliwości terapii i wsparcia osób z głęboką niepełnosprawnością intelektualną i ich rodzin.</w:t>
            </w:r>
            <w:r w:rsidRPr="00606D77">
              <w:rPr>
                <w:rFonts w:ascii="Calibri" w:hAnsi="Calibri"/>
                <w:bCs/>
                <w:sz w:val="21"/>
                <w:szCs w:val="21"/>
              </w:rPr>
              <w:t xml:space="preserve"> Uniwersytet Pedagogiczny w Krakowie.</w:t>
            </w:r>
          </w:p>
          <w:p w14:paraId="3121F644" w14:textId="77777777" w:rsidR="00AE5D89" w:rsidRPr="00606D77" w:rsidRDefault="0063574D" w:rsidP="00606D77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 w:hanging="284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606D77">
              <w:rPr>
                <w:rFonts w:ascii="Calibri" w:hAnsi="Calibri" w:cs="Calibri"/>
                <w:bCs/>
                <w:color w:val="auto"/>
                <w:sz w:val="21"/>
                <w:szCs w:val="21"/>
              </w:rPr>
              <w:t>Rutkowska, E. (red.). (2018).</w:t>
            </w:r>
            <w:r w:rsidRPr="00606D77"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  <w:t xml:space="preserve"> Rehabilitacja i pielęgnowanie osób niepełnosprawnych</w:t>
            </w:r>
            <w:r w:rsidRPr="00606D77">
              <w:rPr>
                <w:rFonts w:ascii="Calibri" w:hAnsi="Calibri" w:cs="Calibri"/>
                <w:bCs/>
                <w:color w:val="auto"/>
                <w:sz w:val="21"/>
                <w:szCs w:val="21"/>
              </w:rPr>
              <w:t>. PZWL.</w:t>
            </w:r>
          </w:p>
          <w:p w14:paraId="44259964" w14:textId="77777777" w:rsidR="00AE5D89" w:rsidRPr="00606D77" w:rsidRDefault="0063574D" w:rsidP="00606D77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 w:hanging="284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606D77">
              <w:rPr>
                <w:rFonts w:ascii="Calibri" w:hAnsi="Calibri" w:cs="Calibri"/>
                <w:color w:val="auto"/>
                <w:sz w:val="21"/>
                <w:szCs w:val="21"/>
              </w:rPr>
              <w:t>Smyczek, A.,  Dońska-</w:t>
            </w:r>
            <w:proofErr w:type="spellStart"/>
            <w:r w:rsidRPr="00606D77">
              <w:rPr>
                <w:rFonts w:ascii="Calibri" w:hAnsi="Calibri" w:cs="Calibri"/>
                <w:color w:val="auto"/>
                <w:sz w:val="21"/>
                <w:szCs w:val="21"/>
              </w:rPr>
              <w:t>Olszko</w:t>
            </w:r>
            <w:proofErr w:type="spellEnd"/>
            <w:r w:rsidRPr="00606D7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M. (2016). </w:t>
            </w:r>
            <w:r w:rsidRPr="00606D77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Edukacja uczniów </w:t>
            </w:r>
            <w:r w:rsidRPr="00606D77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br/>
              <w:t>z niepełnosprawnością intelektualną i sprzężoną.</w:t>
            </w:r>
            <w:r w:rsidRPr="00606D7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Ośrodek Rozwoju Edukacji.</w:t>
            </w:r>
          </w:p>
        </w:tc>
      </w:tr>
      <w:tr w:rsidR="00AE5D89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AE5D89" w:rsidRDefault="0063574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7E6EA16C" w14:textId="77777777" w:rsidR="00AE5D89" w:rsidRPr="008559FC" w:rsidRDefault="0063574D" w:rsidP="00606D77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284"/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 w:rsidRPr="008559FC">
              <w:rPr>
                <w:rFonts w:ascii="Calibri" w:hAnsi="Calibri"/>
                <w:bCs/>
                <w:sz w:val="21"/>
                <w:szCs w:val="21"/>
              </w:rPr>
              <w:t>Cytowska</w:t>
            </w:r>
            <w:proofErr w:type="spellEnd"/>
            <w:r w:rsidRPr="008559FC">
              <w:rPr>
                <w:rFonts w:ascii="Calibri" w:hAnsi="Calibri"/>
                <w:bCs/>
                <w:sz w:val="21"/>
                <w:szCs w:val="21"/>
              </w:rPr>
              <w:t xml:space="preserve">, B. (2023). Dorosłość osób z głęboką niepełnosprawnością intelektualną w percepcji nauczycieli, wychowawców i opiekunów–na podstawie narracyjnego przeglądu literatury. </w:t>
            </w:r>
            <w:r w:rsidRPr="008559FC">
              <w:rPr>
                <w:rFonts w:ascii="Calibri" w:hAnsi="Calibri"/>
                <w:bCs/>
                <w:iCs/>
                <w:sz w:val="21"/>
                <w:szCs w:val="21"/>
              </w:rPr>
              <w:t>Niepełnosprawność, (51)</w:t>
            </w:r>
            <w:r w:rsidRPr="008559FC">
              <w:rPr>
                <w:rFonts w:ascii="Calibri" w:hAnsi="Calibri"/>
                <w:bCs/>
                <w:sz w:val="21"/>
                <w:szCs w:val="21"/>
              </w:rPr>
              <w:t>, 131-151.</w:t>
            </w:r>
          </w:p>
          <w:p w14:paraId="0821F76A" w14:textId="77777777" w:rsidR="00AE5D89" w:rsidRPr="008559FC" w:rsidRDefault="0063574D" w:rsidP="00606D77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284"/>
              <w:rPr>
                <w:rFonts w:ascii="Calibri" w:hAnsi="Calibri"/>
                <w:bCs/>
                <w:sz w:val="21"/>
                <w:szCs w:val="21"/>
              </w:rPr>
            </w:pPr>
            <w:r w:rsidRPr="008559FC">
              <w:rPr>
                <w:rFonts w:ascii="Calibri" w:hAnsi="Calibri"/>
                <w:bCs/>
                <w:sz w:val="21"/>
                <w:szCs w:val="21"/>
              </w:rPr>
              <w:t xml:space="preserve">Kijak, R. (2016). </w:t>
            </w:r>
            <w:r w:rsidRPr="008559FC">
              <w:rPr>
                <w:rFonts w:ascii="Calibri" w:hAnsi="Calibri"/>
                <w:bCs/>
                <w:iCs/>
                <w:sz w:val="21"/>
                <w:szCs w:val="21"/>
              </w:rPr>
              <w:t>Dorośli z głębszą niepełnosprawnością intelektualną jako partnerzy, małżonkowie i rodzice.</w:t>
            </w:r>
            <w:r w:rsidRPr="008559FC">
              <w:rPr>
                <w:rFonts w:ascii="Calibri" w:hAnsi="Calibri"/>
                <w:bCs/>
                <w:sz w:val="21"/>
                <w:szCs w:val="21"/>
              </w:rPr>
              <w:t xml:space="preserve"> Wydawnictwo Naukowe Uniwersytetu Pedagogicznego, Kraków.</w:t>
            </w:r>
          </w:p>
          <w:p w14:paraId="2417127C" w14:textId="77777777" w:rsidR="00AE5D89" w:rsidRPr="008559FC" w:rsidRDefault="0063574D" w:rsidP="00606D77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284"/>
              <w:rPr>
                <w:rFonts w:ascii="Calibri" w:hAnsi="Calibri"/>
                <w:bCs/>
                <w:sz w:val="21"/>
                <w:szCs w:val="21"/>
              </w:rPr>
            </w:pPr>
            <w:r w:rsidRPr="008559FC">
              <w:rPr>
                <w:rFonts w:ascii="Calibri" w:hAnsi="Calibri"/>
                <w:bCs/>
                <w:sz w:val="21"/>
                <w:szCs w:val="21"/>
              </w:rPr>
              <w:t xml:space="preserve">Zaorska, M. (2023). Dziecko/uczeń z głębokim stopniem niepełnosprawności intelektualnej w polskim systemie edukacji (ze szczególnym uwzględnieniem edukacji włączającej). </w:t>
            </w:r>
            <w:r w:rsidRPr="008559FC">
              <w:rPr>
                <w:rFonts w:ascii="Calibri" w:hAnsi="Calibri"/>
                <w:bCs/>
                <w:iCs/>
                <w:sz w:val="21"/>
                <w:szCs w:val="21"/>
              </w:rPr>
              <w:t>Szkoła Specjalna, 84(3</w:t>
            </w:r>
            <w:r w:rsidRPr="008559FC">
              <w:rPr>
                <w:rFonts w:ascii="Calibri" w:hAnsi="Calibri"/>
                <w:bCs/>
                <w:sz w:val="21"/>
                <w:szCs w:val="21"/>
              </w:rPr>
              <w:t>), 171-182.</w:t>
            </w:r>
          </w:p>
          <w:p w14:paraId="42DD6AB1" w14:textId="34046D45" w:rsidR="00AE5D89" w:rsidRPr="008559FC" w:rsidRDefault="0063574D" w:rsidP="00606D77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559FC">
              <w:rPr>
                <w:rFonts w:ascii="Calibri" w:hAnsi="Calibri" w:cs="Calibri"/>
                <w:bCs/>
                <w:sz w:val="21"/>
                <w:szCs w:val="21"/>
              </w:rPr>
              <w:t>Literatura i m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ateriały do zajęć rewalidacyjno</w:t>
            </w:r>
            <w:r w:rsidRPr="008559FC">
              <w:rPr>
                <w:rFonts w:ascii="Calibri" w:hAnsi="Calibri" w:cs="Calibri"/>
                <w:bCs/>
                <w:sz w:val="21"/>
                <w:szCs w:val="21"/>
              </w:rPr>
              <w:t>- wychowawczych zalecane przez zakładowego opiekuna praktyk.</w:t>
            </w:r>
          </w:p>
        </w:tc>
      </w:tr>
    </w:tbl>
    <w:p w14:paraId="72FEC4B3" w14:textId="77777777" w:rsidR="00AE5D89" w:rsidRDefault="0063574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4E1B74FF" w14:textId="77777777" w:rsidR="00606D77" w:rsidRDefault="0063574D" w:rsidP="008559FC">
      <w:pPr>
        <w:pStyle w:val="TableParagraph"/>
        <w:numPr>
          <w:ilvl w:val="1"/>
          <w:numId w:val="5"/>
        </w:numPr>
        <w:snapToGrid w:val="0"/>
        <w:spacing w:line="276" w:lineRule="auto"/>
        <w:ind w:left="567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559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A1F3BB4" w14:textId="0E643B13" w:rsidR="00AE5D89" w:rsidRPr="008559FC" w:rsidRDefault="0063574D" w:rsidP="00606D7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559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57698E1" w14:textId="77777777" w:rsidR="00AE5D89" w:rsidRDefault="0063574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p w14:paraId="4DE571B3" w14:textId="76CDFD06" w:rsidR="00AE5D89" w:rsidRDefault="0063574D" w:rsidP="008559FC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Konfrontowanie nabywanej wiedzy psychologiczno-pedagogicznej z rzeczywistością pedagogiczną w działaniu praktycznym</w:t>
      </w:r>
      <w:r w:rsidR="008559FC"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</w:t>
      </w:r>
    </w:p>
    <w:p w14:paraId="1EB7E44A" w14:textId="5770BDC6" w:rsidR="00AE5D89" w:rsidRDefault="0063574D" w:rsidP="008559FC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kompetencji rozpoznawania potrzeb edukacyjnych i rozwojowych uczniów</w:t>
      </w:r>
      <w:r w:rsidR="008559FC"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14:paraId="4A16AF6F" w14:textId="1B2D32AB" w:rsidR="00AE5D89" w:rsidRDefault="0063574D" w:rsidP="008559FC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Wdrażanie do analizowania własnych działań pedagogicznych, dydaktycznych i opiekuńczo-wychowawczych</w:t>
      </w:r>
      <w:r w:rsidR="008559FC">
        <w:rPr>
          <w:rFonts w:asciiTheme="minorHAnsi" w:hAnsiTheme="minorHAnsi"/>
          <w:bCs/>
          <w:iCs/>
          <w:color w:val="000000" w:themeColor="text1"/>
          <w:sz w:val="24"/>
          <w:szCs w:val="24"/>
        </w:rPr>
        <w:t>.</w:t>
      </w:r>
    </w:p>
    <w:p w14:paraId="1FDDFBC6" w14:textId="2FFD8684" w:rsidR="00AE5D89" w:rsidRDefault="0063574D" w:rsidP="008559F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71DF29E" w14:textId="77777777" w:rsidR="00AE5D89" w:rsidRDefault="006357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1FB070F" w14:textId="77777777" w:rsidR="00AE5D89" w:rsidRDefault="0063574D" w:rsidP="00606D7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</w:p>
    <w:p w14:paraId="3CE2E34F" w14:textId="77777777" w:rsidR="00AE5D89" w:rsidRDefault="0063574D" w:rsidP="00606D77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oraz warunkami zaliczenia.</w:t>
      </w:r>
    </w:p>
    <w:p w14:paraId="2780F730" w14:textId="5E6B0726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2. Zapoznanie się z specyfiką funkcjonowania zespołów rewalidacyjno-wychowawczych dla dzieci </w:t>
      </w:r>
      <w:r w:rsidR="008559FC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 młodzieży z głęboką niepełnosprawnością intelektualną.</w:t>
      </w:r>
    </w:p>
    <w:p w14:paraId="0451CF44" w14:textId="4AFE2E05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3. Zapoznanie się wymaganą dokumentacją, zakresami zadań pracowników i organizacją pracy </w:t>
      </w:r>
      <w:r w:rsidR="008559FC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zespołach rewalidacyjno-wychowawczych dla dzieci i młodzieży z głęboką niepełnosprawnością intelektualną.</w:t>
      </w:r>
    </w:p>
    <w:p w14:paraId="34A4D380" w14:textId="14386144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4. Zapoznanie się z metodami pracy, formami i środkami dydaktycznymi stosowanych w pracy </w:t>
      </w:r>
      <w:r w:rsidR="008559FC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zespołach rewalidacyjno-wychowawczych dla dzieci i młodzieży z głęboką niepełnosprawnością intelektualną.</w:t>
      </w:r>
    </w:p>
    <w:p w14:paraId="71D6A815" w14:textId="77777777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5. Zapoznanie się z zasadami bezpieczeństwa w zespołach rewalidacyjno-wychowawczych oraz ich przestrzegania.</w:t>
      </w:r>
    </w:p>
    <w:p w14:paraId="6878D504" w14:textId="51F83350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6. Obserwacja funkcjonowania/aktywności dzieci i młodzieży oraz analiza i interpretacja </w:t>
      </w:r>
      <w:r w:rsidR="008559FC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ich zachowań.</w:t>
      </w:r>
    </w:p>
    <w:p w14:paraId="611F5D0F" w14:textId="77777777" w:rsidR="00AE5D89" w:rsidRDefault="0063574D" w:rsidP="00606D77">
      <w:pPr>
        <w:pStyle w:val="TableParagraph"/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7. Analizowanie działań opiekuńczo-wychowawczych nauczycieli oraz sytuacji i zdarzeń pedagogicznych podczas trwania praktyk.</w:t>
      </w:r>
    </w:p>
    <w:p w14:paraId="1CE67B94" w14:textId="77777777" w:rsidR="00AE5D89" w:rsidRDefault="0063574D" w:rsidP="008559FC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8. Współdziałanie z opiekunem praktyk zawodowych oraz nauczycielami i specjalistami.</w:t>
      </w:r>
    </w:p>
    <w:p w14:paraId="1FBEC837" w14:textId="77777777" w:rsidR="00AE5D89" w:rsidRDefault="0063574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AE5D89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AE5D89" w:rsidRDefault="006357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AE5D89" w:rsidRDefault="006357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AE5D89" w:rsidRDefault="006357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AE5D89" w:rsidRDefault="006357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AE5D89" w:rsidRDefault="0063574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AE5D89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AE5D89" w:rsidRDefault="006357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41A4278B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E.3I.W1.</w:t>
            </w:r>
          </w:p>
          <w:p w14:paraId="32780531" w14:textId="77777777" w:rsidR="00AE5D89" w:rsidRDefault="00AE5D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14:paraId="212736BB" w14:textId="67D3B131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podstawy filozofii wychowania i nauki o wartościach, istotę i rolę głównych środowisk wychowawczych i procesów w nich zachodzących, a także </w:t>
            </w:r>
            <w:r w:rsidR="00606D77"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>wynikające</w:t>
            </w: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z nich  </w:t>
            </w:r>
            <w:r w:rsidRPr="00606D77">
              <w:rPr>
                <w:rFonts w:ascii="Calibri" w:hAnsi="Calibri" w:cs="Calibri"/>
                <w:sz w:val="21"/>
                <w:szCs w:val="21"/>
              </w:rPr>
              <w:t>zadania</w:t>
            </w:r>
            <w:r w:rsidRPr="00606D77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 w:rsidRPr="00606D77">
              <w:rPr>
                <w:rFonts w:ascii="Calibri" w:hAnsi="Calibri" w:cs="Calibri"/>
                <w:sz w:val="21"/>
                <w:szCs w:val="21"/>
              </w:rPr>
              <w:t>charakterystyczne</w:t>
            </w:r>
            <w:r w:rsidRPr="00606D77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 w:rsidRPr="00606D77">
              <w:rPr>
                <w:rFonts w:ascii="Calibri" w:hAnsi="Calibri" w:cs="Calibri"/>
                <w:sz w:val="21"/>
                <w:szCs w:val="21"/>
              </w:rPr>
              <w:t>dla</w:t>
            </w:r>
            <w:r w:rsidRPr="00606D77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Pr="00606D77">
              <w:rPr>
                <w:rFonts w:ascii="Calibri" w:hAnsi="Calibri" w:cs="Calibri"/>
                <w:sz w:val="21"/>
                <w:szCs w:val="21"/>
              </w:rPr>
              <w:t xml:space="preserve">szkoły oraz środowisko, </w:t>
            </w:r>
            <w:r w:rsidR="00606D77">
              <w:rPr>
                <w:rFonts w:ascii="Calibri" w:hAnsi="Calibri" w:cs="Calibri"/>
                <w:sz w:val="21"/>
                <w:szCs w:val="21"/>
              </w:rPr>
              <w:br/>
            </w:r>
            <w:r w:rsidRPr="00606D77">
              <w:rPr>
                <w:rFonts w:ascii="Calibri" w:hAnsi="Calibri" w:cs="Calibri"/>
                <w:sz w:val="21"/>
                <w:szCs w:val="21"/>
              </w:rPr>
              <w:t>w jakim one działają.</w:t>
            </w:r>
          </w:p>
        </w:tc>
        <w:tc>
          <w:tcPr>
            <w:tcW w:w="1773" w:type="dxa"/>
          </w:tcPr>
          <w:p w14:paraId="0E2CE4E8" w14:textId="77777777" w:rsidR="00AE5D89" w:rsidRDefault="0063574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PSPEC_W01</w:t>
            </w:r>
          </w:p>
        </w:tc>
      </w:tr>
      <w:tr w:rsidR="00AE5D89" w14:paraId="41A7B4B4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7D0A6FB" w14:textId="77777777" w:rsidR="00AE5D89" w:rsidRDefault="006357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14:paraId="5046A4F9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E.3I.W2.</w:t>
            </w:r>
          </w:p>
          <w:p w14:paraId="2CCD640E" w14:textId="77777777" w:rsidR="00AE5D89" w:rsidRDefault="00AE5D8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05B51C8" w14:textId="1F0450AC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Wykorzystywać i integrować wiedzę z zakresu pedagogiki specjalnej </w:t>
            </w:r>
            <w:r w:rsidR="005979E4"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oraz powiązanych z nią dyscyplin naukowych w celu analizy problemów rehabilitacyjnych, edukacyjnych, terapeutycznych i resocjalizacyjnych, </w:t>
            </w:r>
            <w:r w:rsidR="00606D77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>zgodnie z organizacją, statutem i planem pracy szkoły oraz progra</w:t>
            </w:r>
            <w:r w:rsidR="00606D77">
              <w:rPr>
                <w:rStyle w:val="normaltextrun"/>
                <w:rFonts w:ascii="Calibri" w:hAnsi="Calibri" w:cs="Calibri"/>
                <w:sz w:val="21"/>
                <w:szCs w:val="21"/>
              </w:rPr>
              <w:t>mem wychowawczo-profilaktycznym.</w:t>
            </w:r>
          </w:p>
        </w:tc>
        <w:tc>
          <w:tcPr>
            <w:tcW w:w="1773" w:type="dxa"/>
          </w:tcPr>
          <w:p w14:paraId="051A0F5D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PSPEC_W10</w:t>
            </w:r>
          </w:p>
          <w:p w14:paraId="27985658" w14:textId="77777777" w:rsidR="00AE5D89" w:rsidRDefault="00AE5D8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E5D89" w14:paraId="19DB1C55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12A50D" w14:textId="77777777" w:rsidR="00AE5D89" w:rsidRDefault="006357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  <w:p w14:paraId="4732D567" w14:textId="77777777" w:rsidR="00AE5D89" w:rsidRDefault="0063574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E.3I.W3.</w:t>
            </w:r>
          </w:p>
        </w:tc>
        <w:tc>
          <w:tcPr>
            <w:tcW w:w="6830" w:type="dxa"/>
          </w:tcPr>
          <w:p w14:paraId="752C2AEE" w14:textId="3F41969E" w:rsidR="00AE5D89" w:rsidRPr="00606D77" w:rsidRDefault="0063574D" w:rsidP="00606D77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zasady </w:t>
            </w:r>
            <w:r w:rsidRPr="00606D77">
              <w:rPr>
                <w:rFonts w:ascii="Calibri" w:hAnsi="Calibri" w:cs="Calibri"/>
                <w:sz w:val="21"/>
                <w:szCs w:val="21"/>
              </w:rPr>
              <w:t>bezpieczeństwa w szkole i poza nią oraz zasady higieny pracy</w:t>
            </w:r>
            <w:r w:rsidR="00606D77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70B054C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PSPEC_Wd17</w:t>
            </w:r>
          </w:p>
          <w:p w14:paraId="1D82DD7E" w14:textId="77777777" w:rsidR="00AE5D89" w:rsidRDefault="00AE5D8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CA7A568" w14:textId="77777777" w:rsidR="00AE5D89" w:rsidRDefault="0063574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AE5D89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BAA7D46" w14:textId="77777777" w:rsidR="00AE5D89" w:rsidRDefault="006357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26F04862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E.3I.U1.</w:t>
            </w:r>
          </w:p>
          <w:p w14:paraId="1A7441F8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E.3I.U2.</w:t>
            </w:r>
          </w:p>
          <w:p w14:paraId="7D71B83B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E.3I.U3.</w:t>
            </w:r>
          </w:p>
          <w:p w14:paraId="4319500C" w14:textId="77777777" w:rsidR="00AE5D89" w:rsidRDefault="00AE5D8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E88BFCB" w14:textId="6FF7DA8C" w:rsidR="00AE5D89" w:rsidRPr="00606D77" w:rsidRDefault="0063574D" w:rsidP="00606D77">
            <w:pPr>
              <w:spacing w:line="276" w:lineRule="auto"/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</w:pPr>
            <w:r w:rsidRP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Potrafi wykorzystywać i dokonywać integracji z zakresu pedagogiki specjalnej </w:t>
            </w:r>
            <w:r w:rsid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i jej subdyscyplin oraz innych dziedzin naukowych pozwalających na analizy m.in. procesów edukacyjnych, terapeutycznych, rehabilitacyjnych, resocjalizacyjnych, a także </w:t>
            </w:r>
            <w:r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formułować wnioski z obserwacji pracy nauczycieli, ich interakcji z dziećmi i uczniami oraz sposobu, w jaki planują i przeprowadzają zajęcia dydaktyczne, wychowawcze i opiekuńcze; formułować  wnioski  </w:t>
            </w:r>
            <w:r w:rsid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z  obserwacji  sposobu  integracji  działań  opiekuńczo-wychowawczych </w:t>
            </w:r>
            <w:r w:rsid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i dydaktycznych przez nauczycieli;</w:t>
            </w:r>
            <w:r w:rsid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wyciągać wnioski z bezpośredniej obserwacji pozalekcyjnych działań opiekuńczo-wychowawczych</w:t>
            </w:r>
            <w:r w:rsid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nauczycieli, w tym podczas dyżurów na przerwach międzylekcyjnych i zorganiz</w:t>
            </w:r>
            <w:r w:rsidR="008559FC" w:rsidRPr="00606D77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owanych wyjść grup uczniowskich.</w:t>
            </w:r>
          </w:p>
        </w:tc>
        <w:tc>
          <w:tcPr>
            <w:tcW w:w="1773" w:type="dxa"/>
          </w:tcPr>
          <w:p w14:paraId="0DE80009" w14:textId="77777777" w:rsidR="00AE5D89" w:rsidRDefault="0063574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PSPEC_U01</w:t>
            </w:r>
          </w:p>
        </w:tc>
      </w:tr>
      <w:tr w:rsidR="00AE5D89" w14:paraId="1D1A7FAC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22AD54" w14:textId="77777777" w:rsidR="00AE5D89" w:rsidRDefault="006357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  <w:p w14:paraId="27B70B23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E.3I.U4.</w:t>
            </w:r>
          </w:p>
          <w:p w14:paraId="7B61BD32" w14:textId="77777777" w:rsidR="00AE5D89" w:rsidRDefault="0063574D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E.3I.U5.</w:t>
            </w:r>
          </w:p>
          <w:p w14:paraId="0A5A23B1" w14:textId="77777777" w:rsidR="00AE5D89" w:rsidRDefault="00AE5D8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DDA19F2" w14:textId="316B1528" w:rsidR="00AE5D89" w:rsidRPr="00606D77" w:rsidRDefault="0063574D" w:rsidP="00606D77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Potrafi odwoływać się do swojej wiedzy psychologiczno-pedagogicznej, dokonywać analizy zachowań, procesów i zjawisk określając potrzeby rozwojowe i edukacyjne uczniów w celu </w:t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zaplanowania i przeprowadzenia zajęć pod nadzorem opiekuna praktyk zawodowych; a </w:t>
            </w:r>
            <w:r w:rsidR="00606D77"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>także</w:t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dokonać analizy,  </w:t>
            </w:r>
            <w:r w:rsidR="00606D77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przy pomocy opiekuna praktyk zawodowych oraz nauczycieli akademickich prowadzących zajęcia w zakresie przygotowania psychologiczno-pedagogicznego, sytuacje i zdarzenia pedagogiczne zaobserwowane </w:t>
            </w:r>
            <w:r w:rsidR="00B928F3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>lub doświadczone w czasie praktyk.</w:t>
            </w:r>
          </w:p>
        </w:tc>
        <w:tc>
          <w:tcPr>
            <w:tcW w:w="1773" w:type="dxa"/>
          </w:tcPr>
          <w:p w14:paraId="512EB5CE" w14:textId="77777777" w:rsidR="00AE5D89" w:rsidRDefault="0063574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PSPEC_U06</w:t>
            </w:r>
          </w:p>
        </w:tc>
      </w:tr>
    </w:tbl>
    <w:p w14:paraId="46A8919F" w14:textId="77777777" w:rsidR="00AE5D89" w:rsidRDefault="0063574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AE5D89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A7ECAA" w14:textId="77777777" w:rsidR="00AE5D89" w:rsidRDefault="006357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62923F9E" w14:textId="77777777" w:rsidR="00AE5D89" w:rsidRDefault="0063574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23FCB7E3" w14:textId="0BBD0A94" w:rsidR="00AE5D89" w:rsidRPr="00606D77" w:rsidRDefault="0063574D" w:rsidP="00606D77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Jest gotów do</w:t>
            </w:r>
            <w:r w:rsidR="005979E4"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>skutecznego współdziałania z opiekunem praktyk zawodowych oraz</w:t>
            </w:r>
            <w:r w:rsidR="00606D77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606D77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 nauczycielami w celu poszerzania swojej wiedzy, a także </w:t>
            </w:r>
            <w:r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przestrzegania uniwersalnych zasad moralnych i etycznych, w swoich działaniach pedagogicznych przestrzegania podmiotowego traktowania swoich uczniów</w:t>
            </w:r>
            <w:r w:rsidR="008559FC" w:rsidRPr="00606D7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8C12184" w14:textId="77777777" w:rsidR="00AE5D89" w:rsidRDefault="0063574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PSPEC_K01</w:t>
            </w:r>
          </w:p>
        </w:tc>
      </w:tr>
      <w:tr w:rsidR="00AE5D89" w14:paraId="4F9CB8DC" w14:textId="77777777" w:rsidTr="00606D77">
        <w:trPr>
          <w:trHeight w:val="670"/>
          <w:jc w:val="center"/>
        </w:trPr>
        <w:tc>
          <w:tcPr>
            <w:tcW w:w="1253" w:type="dxa"/>
            <w:shd w:val="clear" w:color="auto" w:fill="ECF1F8"/>
          </w:tcPr>
          <w:p w14:paraId="31926D27" w14:textId="77777777" w:rsidR="00AE5D89" w:rsidRDefault="006357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  <w:p w14:paraId="4B1C2178" w14:textId="77777777" w:rsidR="00AE5D89" w:rsidRDefault="006357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56E5684B" w14:textId="6E4B905A" w:rsidR="00AE5D89" w:rsidRPr="00606D77" w:rsidRDefault="0063574D" w:rsidP="00606D77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Jest gotów wykazywania się gotowością do pracy w zespole - współpracy </w:t>
            </w:r>
            <w:r w:rsid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606D77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>z nauczycielami, pedagogami, specjalistami, rodzicami lub opiekunami prawnymi uczniów, a także innymi członkami społeczności szkolnej i lokalnej oraz zaangażowania w pełnieniu różnych ról i funkcji.</w:t>
            </w:r>
          </w:p>
        </w:tc>
        <w:tc>
          <w:tcPr>
            <w:tcW w:w="1773" w:type="dxa"/>
          </w:tcPr>
          <w:p w14:paraId="28E9692B" w14:textId="77777777" w:rsidR="00AE5D89" w:rsidRDefault="0063574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PSPEC_K07</w:t>
            </w:r>
          </w:p>
        </w:tc>
      </w:tr>
    </w:tbl>
    <w:p w14:paraId="2D2B4EBE" w14:textId="77777777" w:rsidR="00AE5D89" w:rsidRDefault="0063574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21C414C0" w14:textId="77777777" w:rsidR="00AE5D89" w:rsidRDefault="0063574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5979E4" w14:paraId="6D406169" w14:textId="77777777" w:rsidTr="005979E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5979E4" w:rsidRDefault="005979E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F20BFCC" w14:textId="5A03561E" w:rsidR="005979E4" w:rsidRDefault="005979E4" w:rsidP="005979E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DCDC6B" w14:textId="77777777" w:rsidR="005979E4" w:rsidRDefault="005979E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D670F9" w14:textId="4D0B9503" w:rsidR="005979E4" w:rsidRDefault="005979E4" w:rsidP="005979E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574BE626" w14:textId="7BE1AE52" w:rsidR="005979E4" w:rsidRDefault="005979E4" w:rsidP="005979E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606D7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606D7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(praktyka </w:t>
            </w:r>
            <w:r w:rsidR="00606D7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w OREW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9B396A4" w14:textId="77777777" w:rsidR="00AE5D89" w:rsidRDefault="0063574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979E4" w14:paraId="418F9614" w14:textId="77777777" w:rsidTr="005979E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5979E4" w:rsidRDefault="005979E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5979E4" w:rsidRDefault="005979E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2A090D4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3B814C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0478B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EF904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DC425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82D81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6544FCA6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F344D3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B8FADF" w14:textId="77777777" w:rsidR="005979E4" w:rsidRDefault="005979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5979E4" w14:paraId="43F0EE52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2805884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B10044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EE569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D7B369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6CB8F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1E4D0F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6182E7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6234A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EF8C4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771E691A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0A6A3FB5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732C34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2CDEB7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8F88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75D932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F6344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343FC6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292244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85ED1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347A1FD3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59ABCB40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06B8710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064C4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6373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0FF87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2B6F86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69A6B0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5CA25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B83869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01327EAD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6939CFCB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68B5F672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824980A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5ED40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3FFE70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420E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6A3DA5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BB4EC0B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26A21B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A62DA8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3B4D0E6B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2CDACCCF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vAlign w:val="center"/>
          </w:tcPr>
          <w:p w14:paraId="1FF3275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68F187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93EEDA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0F7C1C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822F35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28EEF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358BC0F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AB45CC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564CFA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4144004B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05B9D8D5" w14:textId="77777777" w:rsidR="005979E4" w:rsidRDefault="005979E4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17A119AD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58B4DE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2C376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60E4F2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B30952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C6EB2C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5497280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BF4842A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5E38D7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979E4" w14:paraId="3DADF3FA" w14:textId="77777777" w:rsidTr="005979E4">
        <w:trPr>
          <w:jc w:val="center"/>
        </w:trPr>
        <w:tc>
          <w:tcPr>
            <w:tcW w:w="1237" w:type="dxa"/>
            <w:shd w:val="clear" w:color="auto" w:fill="ECF1F8"/>
          </w:tcPr>
          <w:p w14:paraId="6F4E7F3F" w14:textId="77777777" w:rsidR="005979E4" w:rsidRDefault="005979E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1539E90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4DA8FC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4B3D0B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CDD110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1C7C41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68A523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E73E85A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0E827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C7E36F" w14:textId="77777777" w:rsidR="005979E4" w:rsidRDefault="005979E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4D8F0AF1" w14:textId="77777777" w:rsidR="00AE5D89" w:rsidRDefault="0063574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AE5D89" w:rsidRDefault="0063574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51A559" w14:textId="77777777" w:rsidR="00AE5D89" w:rsidRDefault="0063574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4162B3" w14:textId="77777777" w:rsidR="00AE5D89" w:rsidRDefault="0063574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AE5D89" w14:paraId="29EAA6CF" w14:textId="77777777">
        <w:trPr>
          <w:jc w:val="center"/>
        </w:trPr>
        <w:tc>
          <w:tcPr>
            <w:tcW w:w="953" w:type="dxa"/>
          </w:tcPr>
          <w:p w14:paraId="35FD6310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C5AAF84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5D89" w14:paraId="3279F5BF" w14:textId="77777777">
        <w:trPr>
          <w:jc w:val="center"/>
        </w:trPr>
        <w:tc>
          <w:tcPr>
            <w:tcW w:w="953" w:type="dxa"/>
          </w:tcPr>
          <w:p w14:paraId="7DEB9AD9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511EC0" w14:textId="43E06403" w:rsidR="00AE5D89" w:rsidRPr="00B928F3" w:rsidRDefault="005979E4" w:rsidP="00B928F3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28F3">
              <w:rPr>
                <w:rFonts w:ascii="Calibri" w:hAnsi="Calibri" w:cs="Calibri"/>
                <w:sz w:val="21"/>
                <w:szCs w:val="21"/>
              </w:rPr>
              <w:t>od 51</w:t>
            </w:r>
            <w:r w:rsidR="0063574D" w:rsidRPr="00B928F3">
              <w:rPr>
                <w:rFonts w:ascii="Calibri" w:hAnsi="Calibri" w:cs="Calibri"/>
                <w:sz w:val="21"/>
                <w:szCs w:val="21"/>
              </w:rPr>
              <w:t>%</w:t>
            </w:r>
            <w:r w:rsidRPr="00B928F3"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 w:rsidR="0063574D" w:rsidRPr="00B928F3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AE5D89" w14:paraId="0C0E1739" w14:textId="77777777">
        <w:trPr>
          <w:jc w:val="center"/>
        </w:trPr>
        <w:tc>
          <w:tcPr>
            <w:tcW w:w="953" w:type="dxa"/>
          </w:tcPr>
          <w:p w14:paraId="27B43312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6A771C6" w14:textId="0DBA1593" w:rsidR="00AE5D89" w:rsidRPr="00B928F3" w:rsidRDefault="0063574D" w:rsidP="00B928F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28F3">
              <w:rPr>
                <w:rFonts w:ascii="Calibri" w:hAnsi="Calibri" w:cs="Calibri"/>
                <w:sz w:val="21"/>
                <w:szCs w:val="21"/>
              </w:rPr>
              <w:t xml:space="preserve">od 61% </w:t>
            </w:r>
            <w:r w:rsidR="005979E4" w:rsidRPr="00B928F3"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 w:rsidRPr="00B928F3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AE5D89" w14:paraId="4F219B07" w14:textId="77777777">
        <w:trPr>
          <w:jc w:val="center"/>
        </w:trPr>
        <w:tc>
          <w:tcPr>
            <w:tcW w:w="953" w:type="dxa"/>
          </w:tcPr>
          <w:p w14:paraId="79F9A639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D41C9D7" w14:textId="74CBDB6B" w:rsidR="00AE5D89" w:rsidRPr="00B928F3" w:rsidRDefault="0063574D" w:rsidP="00B928F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28F3"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 w:rsidR="005979E4" w:rsidRPr="00B928F3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Pr="00B928F3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AE5D89" w14:paraId="5CF2A888" w14:textId="77777777">
        <w:trPr>
          <w:jc w:val="center"/>
        </w:trPr>
        <w:tc>
          <w:tcPr>
            <w:tcW w:w="953" w:type="dxa"/>
          </w:tcPr>
          <w:p w14:paraId="2407145D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9F98CA" w14:textId="3FD514E0" w:rsidR="00AE5D89" w:rsidRPr="00B928F3" w:rsidRDefault="0063574D" w:rsidP="00B928F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28F3">
              <w:rPr>
                <w:rFonts w:ascii="Calibri" w:hAnsi="Calibri" w:cs="Calibri"/>
                <w:sz w:val="21"/>
                <w:szCs w:val="21"/>
              </w:rPr>
              <w:t>od 81%</w:t>
            </w:r>
            <w:r w:rsidR="005979E4" w:rsidRPr="00B928F3">
              <w:rPr>
                <w:rFonts w:ascii="Calibri" w:hAnsi="Calibri" w:cs="Calibri"/>
                <w:sz w:val="21"/>
                <w:szCs w:val="21"/>
              </w:rPr>
              <w:t xml:space="preserve"> do 90%</w:t>
            </w:r>
            <w:r w:rsidRPr="00B928F3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AE5D89" w14:paraId="67A52CDB" w14:textId="77777777">
        <w:trPr>
          <w:jc w:val="center"/>
        </w:trPr>
        <w:tc>
          <w:tcPr>
            <w:tcW w:w="953" w:type="dxa"/>
          </w:tcPr>
          <w:p w14:paraId="09619869" w14:textId="77777777" w:rsidR="00AE5D89" w:rsidRDefault="006357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195DA" w14:textId="5B5C9046" w:rsidR="00AE5D89" w:rsidRPr="00B928F3" w:rsidRDefault="0063574D" w:rsidP="00B928F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28F3"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 w:rsidR="005979E4" w:rsidRPr="00B928F3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Pr="00B928F3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</w:tbl>
    <w:p w14:paraId="474C4D4F" w14:textId="77777777" w:rsidR="00AE5D89" w:rsidRDefault="0063574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AE5D89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AE5D89" w:rsidRDefault="0063574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AE5D89" w:rsidRDefault="0063574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AE5D89" w:rsidRDefault="0063574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AE5D89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20</w:t>
            </w:r>
          </w:p>
        </w:tc>
      </w:tr>
      <w:tr w:rsidR="00AE5D89" w14:paraId="4FA232F6" w14:textId="77777777">
        <w:trPr>
          <w:trHeight w:val="282"/>
          <w:jc w:val="center"/>
        </w:trPr>
        <w:tc>
          <w:tcPr>
            <w:tcW w:w="5499" w:type="dxa"/>
          </w:tcPr>
          <w:p w14:paraId="47DC66AB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OREW)</w:t>
            </w:r>
          </w:p>
        </w:tc>
        <w:tc>
          <w:tcPr>
            <w:tcW w:w="2172" w:type="dxa"/>
            <w:vAlign w:val="center"/>
          </w:tcPr>
          <w:p w14:paraId="7F73AFBE" w14:textId="77777777" w:rsidR="00AE5D89" w:rsidRPr="00057210" w:rsidRDefault="006357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0459E73" w14:textId="77777777" w:rsidR="00AE5D89" w:rsidRPr="00057210" w:rsidRDefault="006357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color w:val="000000"/>
                <w:sz w:val="21"/>
                <w:szCs w:val="21"/>
              </w:rPr>
              <w:t>20</w:t>
            </w:r>
          </w:p>
        </w:tc>
      </w:tr>
      <w:tr w:rsidR="00AE5D89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5</w:t>
            </w:r>
          </w:p>
        </w:tc>
      </w:tr>
      <w:tr w:rsidR="00AE5D89" w14:paraId="08DA7FF8" w14:textId="77777777">
        <w:trPr>
          <w:trHeight w:val="285"/>
          <w:jc w:val="center"/>
        </w:trPr>
        <w:tc>
          <w:tcPr>
            <w:tcW w:w="5499" w:type="dxa"/>
          </w:tcPr>
          <w:p w14:paraId="3A59DD93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OREW)</w:t>
            </w:r>
          </w:p>
        </w:tc>
        <w:tc>
          <w:tcPr>
            <w:tcW w:w="2172" w:type="dxa"/>
            <w:vAlign w:val="center"/>
          </w:tcPr>
          <w:p w14:paraId="393BDC9E" w14:textId="77777777" w:rsidR="00AE5D89" w:rsidRPr="00057210" w:rsidRDefault="006357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261642E" w14:textId="77777777" w:rsidR="00AE5D89" w:rsidRPr="00057210" w:rsidRDefault="006357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</w:tr>
      <w:tr w:rsidR="00AE5D89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sz w:val="21"/>
                <w:szCs w:val="21"/>
              </w:rPr>
              <w:t>25</w:t>
            </w:r>
            <w:bookmarkStart w:id="1" w:name="_GoBack"/>
            <w:bookmarkEnd w:id="1"/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AE5D89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AE5D89" w:rsidRDefault="006357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AE5D89" w:rsidRPr="00057210" w:rsidRDefault="0063574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57210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14:paraId="3AE6B8CA" w14:textId="77777777" w:rsidR="00AE5D89" w:rsidRDefault="0063574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63C6947" w14:textId="77777777" w:rsidR="00AE5D89" w:rsidRDefault="0063574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AE5D8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23D"/>
    <w:multiLevelType w:val="hybridMultilevel"/>
    <w:tmpl w:val="DE12E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B211"/>
    <w:multiLevelType w:val="singleLevel"/>
    <w:tmpl w:val="0F45B211"/>
    <w:lvl w:ilvl="0">
      <w:start w:val="1"/>
      <w:numFmt w:val="decimal"/>
      <w:suff w:val="space"/>
      <w:lvlText w:val="%1."/>
      <w:lvlJc w:val="left"/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0222B2F"/>
    <w:multiLevelType w:val="hybridMultilevel"/>
    <w:tmpl w:val="CF0A5FAC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57210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79E4"/>
    <w:rsid w:val="005D2A79"/>
    <w:rsid w:val="005D3DF3"/>
    <w:rsid w:val="005E156F"/>
    <w:rsid w:val="005F0097"/>
    <w:rsid w:val="005F3556"/>
    <w:rsid w:val="00606D77"/>
    <w:rsid w:val="00621E17"/>
    <w:rsid w:val="00625795"/>
    <w:rsid w:val="0063574D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559FC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E5D89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28F3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D592070"/>
    <w:rsid w:val="292077E9"/>
    <w:rsid w:val="2D0B0FF8"/>
    <w:rsid w:val="515B6C61"/>
    <w:rsid w:val="559D0AD6"/>
    <w:rsid w:val="673C69DA"/>
    <w:rsid w:val="71A4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1082-21EB-4B38-B515-082A669A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1394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8</cp:revision>
  <cp:lastPrinted>2025-10-28T07:51:00Z</cp:lastPrinted>
  <dcterms:created xsi:type="dcterms:W3CDTF">2026-02-16T21:51:00Z</dcterms:created>
  <dcterms:modified xsi:type="dcterms:W3CDTF">2026-06-30T10:26:00Z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65FB41D1ACC644AA906F8B43C7EA5AA6_13</vt:lpwstr>
  </property>
</Properties>
</file>