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EB" w:rsidRDefault="00371EEB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371EEB" w:rsidRDefault="007C058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371EEB" w:rsidRDefault="007C0585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="Calibri" w:eastAsia="SimSun" w:hAnsi="Calibri"/>
          <w:iCs/>
          <w:color w:val="000000" w:themeColor="text1"/>
          <w:sz w:val="24"/>
          <w:szCs w:val="24"/>
        </w:rPr>
        <w:t xml:space="preserve"> 0923.3.PS2.F11.MR </w:t>
      </w:r>
    </w:p>
    <w:p w:rsidR="00371EEB" w:rsidRDefault="007C0585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</w:t>
      </w:r>
      <w:r>
        <w:rPr>
          <w:rFonts w:ascii="Calibri" w:eastAsia="SimSun" w:hAnsi="Calibri"/>
          <w:b/>
          <w:bCs/>
          <w:iCs/>
          <w:color w:val="000000" w:themeColor="text1"/>
        </w:rPr>
        <w:t>m: Mediacje rodzinne - warsztaty</w:t>
      </w:r>
    </w:p>
    <w:p w:rsidR="00371EEB" w:rsidRDefault="007C0585">
      <w:pPr>
        <w:pStyle w:val="Styl1"/>
        <w:spacing w:line="276" w:lineRule="auto"/>
        <w:ind w:firstLine="426"/>
        <w:rPr>
          <w:rFonts w:eastAsia="SimSun"/>
          <w:b/>
          <w:bCs/>
          <w:i w:val="0"/>
          <w:iCs/>
          <w:color w:val="000000" w:themeColor="text1"/>
        </w:rPr>
      </w:pPr>
      <w:r>
        <w:rPr>
          <w:rFonts w:eastAsia="SimSun"/>
          <w:b/>
          <w:bCs/>
          <w:i w:val="0"/>
          <w:iCs/>
          <w:color w:val="000000" w:themeColor="text1"/>
        </w:rPr>
        <w:t xml:space="preserve">Nazwa przedmiotu (zajęć) w języku angielskim: </w:t>
      </w:r>
      <w:r w:rsidRPr="007C0585">
        <w:rPr>
          <w:rFonts w:eastAsia="SimSun"/>
          <w:b/>
          <w:bCs/>
          <w:i w:val="0"/>
          <w:iCs/>
          <w:color w:val="000000" w:themeColor="text1"/>
        </w:rPr>
        <w:t xml:space="preserve">Family </w:t>
      </w:r>
      <w:proofErr w:type="spellStart"/>
      <w:r w:rsidRPr="007C0585">
        <w:rPr>
          <w:rFonts w:eastAsia="SimSun"/>
          <w:b/>
          <w:bCs/>
          <w:i w:val="0"/>
          <w:iCs/>
          <w:color w:val="000000" w:themeColor="text1"/>
        </w:rPr>
        <w:t>Mediation</w:t>
      </w:r>
      <w:proofErr w:type="spellEnd"/>
      <w:r w:rsidRPr="007C0585">
        <w:rPr>
          <w:rFonts w:eastAsia="SimSun"/>
          <w:b/>
          <w:bCs/>
          <w:i w:val="0"/>
          <w:iCs/>
          <w:color w:val="000000" w:themeColor="text1"/>
        </w:rPr>
        <w:t xml:space="preserve"> – </w:t>
      </w:r>
      <w:proofErr w:type="spellStart"/>
      <w:r w:rsidRPr="007C0585">
        <w:rPr>
          <w:rFonts w:eastAsia="SimSun"/>
          <w:b/>
          <w:bCs/>
          <w:i w:val="0"/>
          <w:iCs/>
          <w:color w:val="000000" w:themeColor="text1"/>
        </w:rPr>
        <w:t>Workshops</w:t>
      </w:r>
      <w:proofErr w:type="spellEnd"/>
    </w:p>
    <w:p w:rsidR="00371EEB" w:rsidRDefault="007C0585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1"/>
        <w:gridCol w:w="5006"/>
      </w:tblGrid>
      <w:tr w:rsidR="00371EEB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 xml:space="preserve">Praca </w:t>
            </w: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>socjalna</w:t>
            </w:r>
          </w:p>
        </w:tc>
      </w:tr>
      <w:tr w:rsidR="00371EEB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>stacjonarne/niestacjonarne</w:t>
            </w:r>
          </w:p>
        </w:tc>
      </w:tr>
      <w:tr w:rsidR="00371EEB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>Drugiego stopnia</w:t>
            </w:r>
          </w:p>
        </w:tc>
      </w:tr>
      <w:tr w:rsidR="00371EEB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>Praktyczny</w:t>
            </w:r>
          </w:p>
        </w:tc>
      </w:tr>
      <w:tr w:rsidR="00371EEB">
        <w:trPr>
          <w:trHeight w:val="282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 xml:space="preserve">dr </w:t>
            </w: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>Monika Wojtkowiak</w:t>
            </w:r>
          </w:p>
        </w:tc>
      </w:tr>
      <w:tr w:rsidR="00371EEB">
        <w:trPr>
          <w:trHeight w:val="285"/>
          <w:jc w:val="center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1"/>
                <w:numId w:val="7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Pr="007C0585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4"/>
                <w:szCs w:val="24"/>
              </w:rPr>
            </w:pPr>
            <w:r w:rsidRPr="007C0585">
              <w:rPr>
                <w:rFonts w:ascii="Calibri" w:hAnsi="Calibri" w:cstheme="minorHAnsi"/>
                <w:bCs/>
                <w:iCs/>
                <w:color w:val="000000" w:themeColor="text1"/>
                <w:sz w:val="24"/>
                <w:szCs w:val="24"/>
              </w:rPr>
              <w:t xml:space="preserve">mwojtkowiak@ujk.edu.pl </w:t>
            </w:r>
          </w:p>
        </w:tc>
      </w:tr>
    </w:tbl>
    <w:p w:rsidR="00371EEB" w:rsidRDefault="007C0585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371EEB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71EEB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Podstawowa wiedza i umiejętności z zakresu pedagogiki ogólnej, teorii wychowania i filozofii </w:t>
            </w:r>
          </w:p>
        </w:tc>
      </w:tr>
    </w:tbl>
    <w:p w:rsidR="00371EEB" w:rsidRDefault="007C0585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6"/>
        <w:gridCol w:w="6280"/>
      </w:tblGrid>
      <w:tr w:rsidR="00371EEB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371EEB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Pomieszczenia dydaktyczne UJK </w:t>
            </w:r>
          </w:p>
        </w:tc>
      </w:tr>
      <w:tr w:rsidR="00371EEB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183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71EEB">
        <w:trPr>
          <w:trHeight w:val="282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Metody podawcze, dyskusja, metoda sytuacyjna, metoda inscenizacji, symulacja </w:t>
            </w:r>
          </w:p>
        </w:tc>
      </w:tr>
      <w:tr w:rsidR="00371EEB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M. Wojtkowiak, S. </w:t>
            </w: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Tusznio</w:t>
            </w:r>
            <w:proofErr w:type="spellEnd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, Mediacje i negocjacje jako formy rozwiązywania konfliktu, Wyd. Wszechnicy Świętokrzyskiej, Kielce 2004. E. Bieńkowska, Poradnik mediatora, Wyd. Zrzeszenia Prawników Polskich, Warszawa 1999. CH. W. Moore, Mediacje. Praktyczne stra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tegie rozwiązywania konfliktów, Wolters Kluwer, Warszawa 2012. </w:t>
            </w:r>
          </w:p>
        </w:tc>
      </w:tr>
      <w:tr w:rsidR="00371EEB">
        <w:trPr>
          <w:trHeight w:val="285"/>
          <w:jc w:val="center"/>
        </w:trPr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A. Lewicka (red.), Profesjonalny mediator, Wyd. Uniwersytetu Marii Curie-Skłodowskiej, Lublin 2008. O. Sitarz, Metodyka pracy mediatora w sprawach karnych, Difin, Warszawa 2015. L. Mazowiecka (red.), Mediacja dla każdego, Wyd. Wolters Kluwer, Warszawa 2010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. Kodeks Etyki Mediatora, Polskie Centrum Mediacji, Warszawa 2001. </w:t>
            </w:r>
          </w:p>
        </w:tc>
      </w:tr>
    </w:tbl>
    <w:p w:rsidR="00371EEB" w:rsidRDefault="007C0585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371EEB" w:rsidRDefault="007C058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371EEB" w:rsidRPr="007C0585" w:rsidRDefault="007C0585" w:rsidP="007C0585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C0585"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C1.</w:t>
      </w:r>
      <w:r w:rsidRPr="007C0585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Wdrażanie młodych ludzi do i poszukiwania możliwości stosowania mediacji w pracy socjalnej z r</w:t>
      </w:r>
      <w:r w:rsidRPr="007C0585">
        <w:rPr>
          <w:rFonts w:ascii="Calibri" w:hAnsi="Calibri" w:cstheme="minorHAnsi"/>
          <w:iCs/>
          <w:color w:val="000000" w:themeColor="text1"/>
          <w:sz w:val="24"/>
          <w:szCs w:val="24"/>
        </w:rPr>
        <w:t>odziną</w:t>
      </w:r>
    </w:p>
    <w:p w:rsidR="00371EEB" w:rsidRPr="007C0585" w:rsidRDefault="007C0585" w:rsidP="007C0585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C0585"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C2.</w:t>
      </w: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</w:t>
      </w:r>
      <w:r w:rsidRPr="007C0585">
        <w:rPr>
          <w:rFonts w:ascii="Calibri" w:hAnsi="Calibri" w:cstheme="minorHAnsi"/>
          <w:iCs/>
          <w:color w:val="000000" w:themeColor="text1"/>
          <w:sz w:val="24"/>
          <w:szCs w:val="24"/>
        </w:rPr>
        <w:t>Kształtowanie umiejętności planowania i prowadzenia mediacji, ze szczególnym zwróceniem uwagi na pokojowe rozwiązywania problemów</w:t>
      </w:r>
    </w:p>
    <w:p w:rsidR="00371EEB" w:rsidRPr="007C0585" w:rsidRDefault="007C0585" w:rsidP="007C0585">
      <w:pPr>
        <w:pStyle w:val="Table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7C0585">
        <w:rPr>
          <w:rFonts w:ascii="Calibri" w:hAnsi="Calibri" w:cstheme="minorHAnsi"/>
          <w:b/>
          <w:iCs/>
          <w:color w:val="000000" w:themeColor="text1"/>
          <w:sz w:val="24"/>
          <w:szCs w:val="24"/>
        </w:rPr>
        <w:t>C3.</w:t>
      </w:r>
      <w:r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 </w:t>
      </w:r>
      <w:r w:rsidRPr="007C0585">
        <w:rPr>
          <w:rFonts w:ascii="Calibri" w:hAnsi="Calibri" w:cstheme="minorHAnsi"/>
          <w:iCs/>
          <w:color w:val="000000" w:themeColor="text1"/>
          <w:sz w:val="24"/>
          <w:szCs w:val="24"/>
        </w:rPr>
        <w:t>Nabywanie zdolności samodzielnego prowadzenia rozmowy pomocowej i mediacyjnej, stosowania wybranych taktyk i st</w:t>
      </w:r>
      <w:r w:rsidRPr="007C0585">
        <w:rPr>
          <w:rFonts w:ascii="Calibri" w:hAnsi="Calibri" w:cstheme="minorHAnsi"/>
          <w:iCs/>
          <w:color w:val="000000" w:themeColor="text1"/>
          <w:sz w:val="24"/>
          <w:szCs w:val="24"/>
        </w:rPr>
        <w:t xml:space="preserve">rategii, obrony przed manipulacją ze strony klienta </w:t>
      </w:r>
    </w:p>
    <w:p w:rsidR="00371EEB" w:rsidRDefault="007C058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Treści programowe (z uwzględnieniem formy zajęć)</w:t>
      </w:r>
    </w:p>
    <w:p w:rsidR="00371EEB" w:rsidRDefault="007C0585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7C0585" w:rsidRDefault="007C0585" w:rsidP="007C0585">
      <w:pPr>
        <w:pStyle w:val="Tekstpodstawowy"/>
        <w:spacing w:line="276" w:lineRule="auto"/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</w:pPr>
    </w:p>
    <w:p w:rsidR="00371EEB" w:rsidRPr="007C0585" w:rsidRDefault="007C0585" w:rsidP="007C0585">
      <w:pPr>
        <w:pStyle w:val="Tekstpodstawowy"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Zapoznania z kartą przedmiotu i warunkami zaliczenia</w:t>
      </w:r>
    </w:p>
    <w:p w:rsidR="007C0585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P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ojęcie negocjacji i mediacji</w:t>
      </w:r>
    </w:p>
    <w:p w:rsidR="00371EEB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Z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 xml:space="preserve">asady mediacji ( z uwzględnieniem podziału na 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mediacje w prawie rodzinnym i karnym).</w:t>
      </w:r>
    </w:p>
    <w:p w:rsidR="007C0585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M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ediacja jako proces-etapy, rodzaje mediacji i formy działań podejmowanych na każdym z etapów.</w:t>
      </w:r>
    </w:p>
    <w:p w:rsidR="00371EEB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P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rzygotowanie mediatora (umiejętności, kompetencje, zdolności).</w:t>
      </w:r>
    </w:p>
    <w:p w:rsidR="00371EEB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K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orzyści i zagrożenia związane z mediacją.</w:t>
      </w:r>
    </w:p>
    <w:p w:rsidR="00371EEB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M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 xml:space="preserve">anipulacja, kłamstwo i inne nadużycia pojawiające się w procesie mediacji rodzinnej, style mediacji i 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negocjacji.</w:t>
      </w:r>
    </w:p>
    <w:p w:rsidR="00371EEB" w:rsidRPr="007C0585" w:rsidRDefault="007C0585" w:rsidP="007C0585">
      <w:pPr>
        <w:pStyle w:val="Tekstpodstawowy"/>
        <w:widowControl/>
        <w:numPr>
          <w:ilvl w:val="0"/>
          <w:numId w:val="10"/>
        </w:numPr>
        <w:spacing w:line="276" w:lineRule="auto"/>
        <w:ind w:left="714" w:hanging="357"/>
        <w:jc w:val="both"/>
        <w:rPr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</w:rPr>
      </w:pP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S</w:t>
      </w:r>
      <w:r w:rsidRPr="007C0585">
        <w:rPr>
          <w:rFonts w:ascii="Calibri" w:hAnsi="Calibri" w:cstheme="minorHAnsi"/>
          <w:b w:val="0"/>
          <w:bCs w:val="0"/>
          <w:iCs/>
          <w:color w:val="000000" w:themeColor="text1"/>
          <w:sz w:val="22"/>
          <w:szCs w:val="22"/>
        </w:rPr>
        <w:t>trategie negocjacji i mediacji.</w:t>
      </w:r>
    </w:p>
    <w:p w:rsidR="00371EEB" w:rsidRDefault="007C0585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6"/>
        <w:gridCol w:w="6829"/>
        <w:gridCol w:w="1773"/>
      </w:tblGrid>
      <w:tr w:rsidR="00371EEB">
        <w:trPr>
          <w:trHeight w:val="980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371EEB" w:rsidRDefault="007C058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371EEB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ma pogłębioną wiedzę na temat funkcjonowania człowieka w cyklu życia w aspekcie społecznym i psychologicznym, również w zakresie jego potrze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b, które powinny by ć realizowane przez udział w procesie mediacji i problemów, które można rozwiązać przez postępowanie mediacyjne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PS2P_W03 </w:t>
            </w:r>
          </w:p>
        </w:tc>
      </w:tr>
      <w:tr w:rsidR="00371EEB">
        <w:trPr>
          <w:trHeight w:val="285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ma uporządkowaną i poszerzoną wiedzę na temat różnych dziedzin działania pomocowego, w tym również z 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zakresu mediacji a także zna praktyczne elementy procesu pomocy, wsparcia, integracji, aktywizacji, wykluczenia i rozumie różnorodne uwarunkowania tych procesów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PS2P_W06</w:t>
            </w:r>
          </w:p>
        </w:tc>
      </w:tr>
    </w:tbl>
    <w:p w:rsidR="00371EEB" w:rsidRDefault="007C058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1"/>
        <w:gridCol w:w="6824"/>
        <w:gridCol w:w="1773"/>
      </w:tblGrid>
      <w:tr w:rsidR="00371EEB">
        <w:trPr>
          <w:trHeight w:val="28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potrafi wszechstronnie wykorzystywać wiedzę teoretyczną z zakresu pracy socjalnej oraz powiązanych z nią dyscyplin w celu analizowania i interpretowania motywów i wzorów ludzkich zachowań, oraz wykorzystać to do planowania działań mediacyjnych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PS2P_U01 </w:t>
            </w:r>
          </w:p>
        </w:tc>
      </w:tr>
      <w:tr w:rsidR="00371EEB">
        <w:trPr>
          <w:trHeight w:val="285"/>
          <w:jc w:val="center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potrafi podjąć działania diagnostyczne i profilaktyczne odpowiadające potrzebom jednostki oraz rodziny 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PS2P_U04</w:t>
            </w:r>
          </w:p>
        </w:tc>
      </w:tr>
    </w:tbl>
    <w:p w:rsidR="00371EEB" w:rsidRDefault="007C0585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371EEB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jest gotów do krytycznej oceny posiadanej wiedzy i odbieranych treści z zakresu przydatności, wad i zalet mediacji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PS2P_K01 </w:t>
            </w:r>
          </w:p>
        </w:tc>
      </w:tr>
      <w:tr w:rsidR="00371EEB">
        <w:trPr>
          <w:trHeight w:val="28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:rsidR="00371EEB" w:rsidRDefault="007C058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jest przygotowany do aktywnego uczestnictwa w grupach, organizacjach i instytucjach realizujących działania pomocowe zdolny do porozumiewania się z osobami będącymi i niebędącymi specjalistami w danej dziedzinie w tym z zawodowymi mediatorami 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PS2P_K04</w:t>
            </w:r>
          </w:p>
        </w:tc>
      </w:tr>
    </w:tbl>
    <w:p w:rsidR="00371EEB" w:rsidRDefault="007C0585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:rsidR="00371EEB" w:rsidRDefault="007C058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4"/>
        <w:gridCol w:w="1231"/>
        <w:gridCol w:w="1230"/>
        <w:gridCol w:w="1228"/>
        <w:gridCol w:w="1227"/>
        <w:gridCol w:w="1228"/>
        <w:gridCol w:w="1228"/>
        <w:gridCol w:w="1225"/>
      </w:tblGrid>
      <w:tr w:rsidR="00371EEB">
        <w:trPr>
          <w:jc w:val="center"/>
        </w:trPr>
        <w:tc>
          <w:tcPr>
            <w:tcW w:w="1243" w:type="dxa"/>
            <w:shd w:val="clear" w:color="auto" w:fill="ECF1F8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(symbol)</w:t>
            </w:r>
          </w:p>
        </w:tc>
        <w:tc>
          <w:tcPr>
            <w:tcW w:w="1230" w:type="dxa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Kolokwium*</w:t>
            </w:r>
          </w:p>
        </w:tc>
        <w:tc>
          <w:tcPr>
            <w:tcW w:w="1228" w:type="dxa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5" w:type="dxa"/>
            <w:vAlign w:val="center"/>
          </w:tcPr>
          <w:p w:rsidR="00371EEB" w:rsidRDefault="007C0585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:rsidR="00371EEB" w:rsidRDefault="007C0585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09"/>
        <w:gridCol w:w="411"/>
        <w:gridCol w:w="408"/>
        <w:gridCol w:w="409"/>
        <w:gridCol w:w="412"/>
        <w:gridCol w:w="406"/>
        <w:gridCol w:w="411"/>
        <w:gridCol w:w="410"/>
        <w:gridCol w:w="408"/>
        <w:gridCol w:w="409"/>
        <w:gridCol w:w="411"/>
        <w:gridCol w:w="406"/>
        <w:gridCol w:w="409"/>
        <w:gridCol w:w="412"/>
        <w:gridCol w:w="406"/>
        <w:gridCol w:w="411"/>
        <w:gridCol w:w="410"/>
        <w:gridCol w:w="408"/>
        <w:gridCol w:w="409"/>
        <w:gridCol w:w="412"/>
        <w:gridCol w:w="400"/>
      </w:tblGrid>
      <w:tr w:rsidR="00371EEB">
        <w:trPr>
          <w:jc w:val="center"/>
        </w:trPr>
        <w:tc>
          <w:tcPr>
            <w:tcW w:w="1236" w:type="dxa"/>
          </w:tcPr>
          <w:p w:rsidR="00371EEB" w:rsidRDefault="00371EE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  <w:p w:rsidR="00371EEB" w:rsidRDefault="007C0585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371EEB" w:rsidRDefault="007C058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0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71EEB">
        <w:trPr>
          <w:jc w:val="center"/>
        </w:trPr>
        <w:tc>
          <w:tcPr>
            <w:tcW w:w="1236" w:type="dxa"/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71EEB">
        <w:trPr>
          <w:jc w:val="center"/>
        </w:trPr>
        <w:tc>
          <w:tcPr>
            <w:tcW w:w="1236" w:type="dxa"/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71EEB">
        <w:trPr>
          <w:jc w:val="center"/>
        </w:trPr>
        <w:tc>
          <w:tcPr>
            <w:tcW w:w="1236" w:type="dxa"/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71EEB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71EEB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8" w:type="dxa"/>
            <w:tcBorders>
              <w:top w:val="nil"/>
            </w:tcBorders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71EEB">
        <w:trPr>
          <w:jc w:val="center"/>
        </w:trPr>
        <w:tc>
          <w:tcPr>
            <w:tcW w:w="1236" w:type="dxa"/>
            <w:shd w:val="clear" w:color="auto" w:fill="ECF1F8"/>
          </w:tcPr>
          <w:p w:rsidR="00371EEB" w:rsidRDefault="007C0585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:rsidR="00371EEB" w:rsidRDefault="00371EE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371EEB" w:rsidRDefault="007C0585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371EEB" w:rsidRDefault="007C0585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371EEB" w:rsidRDefault="007C0585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371EEB" w:rsidRDefault="007C0585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39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8878"/>
      </w:tblGrid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7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7" w:type="dxa"/>
          </w:tcPr>
          <w:p w:rsidR="00371EEB" w:rsidRDefault="007C0585" w:rsidP="007C05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50% z kolokwium i pracy własnej, aktywność na zajęciach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7" w:type="dxa"/>
          </w:tcPr>
          <w:p w:rsidR="00371EEB" w:rsidRDefault="007C05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61% </w:t>
            </w:r>
            <w:r w:rsidRPr="007C0585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 i pracy własnej, aktywność na zajęciach</w:t>
            </w:r>
          </w:p>
        </w:tc>
      </w:tr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7" w:type="dxa"/>
          </w:tcPr>
          <w:p w:rsidR="00371EEB" w:rsidRDefault="007C0585" w:rsidP="007C05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71% </w:t>
            </w:r>
            <w:r w:rsidRPr="007C0585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 i pracy własnej, aktywność na zajęciach</w:t>
            </w:r>
          </w:p>
        </w:tc>
      </w:tr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7" w:type="dxa"/>
          </w:tcPr>
          <w:p w:rsidR="00371EEB" w:rsidRDefault="007C0585" w:rsidP="007C05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81%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C0585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 i pracy własnej, aktywność na zajęciach</w:t>
            </w:r>
          </w:p>
        </w:tc>
      </w:tr>
      <w:tr w:rsidR="00371EEB">
        <w:trPr>
          <w:jc w:val="center"/>
        </w:trPr>
        <w:tc>
          <w:tcPr>
            <w:tcW w:w="961" w:type="dxa"/>
          </w:tcPr>
          <w:p w:rsidR="00371EEB" w:rsidRDefault="007C0585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7" w:type="dxa"/>
          </w:tcPr>
          <w:p w:rsidR="00371EEB" w:rsidRDefault="007C0585" w:rsidP="007C0585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7C0585">
              <w:rPr>
                <w:rFonts w:ascii="Calibri" w:hAnsi="Calibr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 i pracy własnej, aktywność na zajęciach</w:t>
            </w:r>
          </w:p>
        </w:tc>
      </w:tr>
    </w:tbl>
    <w:p w:rsidR="00371EEB" w:rsidRDefault="00371EE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6"/>
        <w:gridCol w:w="2175"/>
        <w:gridCol w:w="2173"/>
      </w:tblGrid>
      <w:tr w:rsidR="00371EEB">
        <w:trPr>
          <w:trHeight w:val="460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371EEB">
        <w:trPr>
          <w:trHeight w:val="41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71EEB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71EEB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12,5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22</w:t>
            </w: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</w:tr>
      <w:tr w:rsidR="00371EEB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19</w:t>
            </w:r>
          </w:p>
        </w:tc>
      </w:tr>
      <w:tr w:rsidR="00371EEB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egzaminu/kolokwium*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4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3</w:t>
            </w:r>
            <w:bookmarkStart w:id="1" w:name="_GoBack"/>
            <w:bookmarkEnd w:id="1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,5</w:t>
            </w:r>
          </w:p>
        </w:tc>
      </w:tr>
      <w:tr w:rsidR="00371EEB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37,5</w:t>
            </w:r>
          </w:p>
        </w:tc>
      </w:tr>
      <w:tr w:rsidR="00371EEB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71EEB" w:rsidRDefault="007C0585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371EEB" w:rsidRDefault="007C058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  <w:sz w:val="21"/>
                <w:szCs w:val="21"/>
              </w:rPr>
              <w:t>1,5</w:t>
            </w:r>
          </w:p>
        </w:tc>
      </w:tr>
    </w:tbl>
    <w:p w:rsidR="00371EEB" w:rsidRDefault="007C0585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:rsidR="00371EEB" w:rsidRDefault="007C0585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:rsidR="00371EEB" w:rsidRDefault="007C0585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371EEB">
      <w:pgSz w:w="11906" w:h="16838"/>
      <w:pgMar w:top="720" w:right="720" w:bottom="720" w:left="720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37AD7"/>
    <w:multiLevelType w:val="multilevel"/>
    <w:tmpl w:val="A928D08A"/>
    <w:lvl w:ilvl="0">
      <w:start w:val="1"/>
      <w:numFmt w:val="bullet"/>
      <w:lvlText w:val="•"/>
      <w:lvlJc w:val="left"/>
      <w:pPr>
        <w:tabs>
          <w:tab w:val="num" w:pos="0"/>
        </w:tabs>
        <w:ind w:left="199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BB3FFC"/>
    <w:multiLevelType w:val="multilevel"/>
    <w:tmpl w:val="CD12AE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6FC40FC"/>
    <w:multiLevelType w:val="multilevel"/>
    <w:tmpl w:val="90B26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9F96A99"/>
    <w:multiLevelType w:val="multilevel"/>
    <w:tmpl w:val="9202BD76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4" w15:restartNumberingAfterBreak="0">
    <w:nsid w:val="54BB43FD"/>
    <w:multiLevelType w:val="hybridMultilevel"/>
    <w:tmpl w:val="0AEAFDE6"/>
    <w:lvl w:ilvl="0" w:tplc="86C22D38">
      <w:numFmt w:val="bullet"/>
      <w:lvlText w:val="•"/>
      <w:lvlJc w:val="left"/>
      <w:pPr>
        <w:ind w:left="720" w:hanging="360"/>
      </w:pPr>
      <w:rPr>
        <w:rFonts w:hint="default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417BB"/>
    <w:multiLevelType w:val="multilevel"/>
    <w:tmpl w:val="4AB0A264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A865F7D"/>
    <w:multiLevelType w:val="multilevel"/>
    <w:tmpl w:val="8FDA131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7" w15:restartNumberingAfterBreak="0">
    <w:nsid w:val="6BD760FF"/>
    <w:multiLevelType w:val="multilevel"/>
    <w:tmpl w:val="D3EA6E58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8" w15:restartNumberingAfterBreak="0">
    <w:nsid w:val="709679FB"/>
    <w:multiLevelType w:val="multilevel"/>
    <w:tmpl w:val="AED826EE"/>
    <w:lvl w:ilvl="0">
      <w:start w:val="1"/>
      <w:numFmt w:val="decimal"/>
      <w:lvlText w:val="%1.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9" w15:restartNumberingAfterBreak="0">
    <w:nsid w:val="71547737"/>
    <w:multiLevelType w:val="hybridMultilevel"/>
    <w:tmpl w:val="AA7E3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EB"/>
    <w:rsid w:val="00371EEB"/>
    <w:rsid w:val="007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F9753-F32D-4059-BB99-C3DC236AC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AE9F-378D-47EE-904C-68025E2C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864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User</cp:lastModifiedBy>
  <cp:revision>14</cp:revision>
  <cp:lastPrinted>2025-10-28T07:51:00Z</cp:lastPrinted>
  <dcterms:created xsi:type="dcterms:W3CDTF">2025-12-11T11:01:00Z</dcterms:created>
  <dcterms:modified xsi:type="dcterms:W3CDTF">2026-07-15T21:24:00Z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