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EBA2AC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B4C9B" w:rsidRPr="008B4C9B">
        <w:rPr>
          <w:rFonts w:eastAsia="Arial Unicode MS"/>
          <w:bCs w:val="0"/>
          <w:lang w:val="pl" w:bidi="ar-SA"/>
        </w:rPr>
        <w:t xml:space="preserve"> </w:t>
      </w:r>
      <w:r w:rsidR="008B4C9B" w:rsidRPr="008B4C9B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0923.3.PS2.F6.SKFCSRS</w:t>
      </w:r>
    </w:p>
    <w:p w14:paraId="43134346" w14:textId="4D3CDFC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B4C9B" w:rsidRPr="008B4C9B">
        <w:rPr>
          <w:rFonts w:ascii="Times New Roman" w:eastAsia="Arial Unicode MS" w:hAnsi="Times New Roman" w:cs="Times New Roman"/>
          <w:b/>
          <w:color w:val="000000"/>
          <w:sz w:val="20"/>
          <w:szCs w:val="20"/>
          <w:lang w:val="pl" w:bidi="ar-SA"/>
        </w:rPr>
        <w:t xml:space="preserve"> </w:t>
      </w:r>
      <w:r w:rsidR="008B4C9B" w:rsidRPr="008B4C9B">
        <w:rPr>
          <w:rFonts w:asciiTheme="minorHAnsi" w:hAnsiTheme="minorHAnsi" w:cstheme="minorHAnsi"/>
          <w:b/>
          <w:bCs/>
          <w:color w:val="000000" w:themeColor="text1"/>
          <w:lang w:val="pl"/>
        </w:rPr>
        <w:t xml:space="preserve">Społeczne konteksty funkcjonowania człowieka starego </w:t>
      </w:r>
      <w:r w:rsidR="008B4C9B">
        <w:rPr>
          <w:rFonts w:asciiTheme="minorHAnsi" w:hAnsiTheme="minorHAnsi" w:cstheme="minorHAnsi"/>
          <w:b/>
          <w:bCs/>
          <w:color w:val="000000" w:themeColor="text1"/>
          <w:lang w:val="pl"/>
        </w:rPr>
        <w:t xml:space="preserve"> </w:t>
      </w:r>
      <w:r w:rsidR="008B4C9B" w:rsidRPr="008B4C9B">
        <w:rPr>
          <w:rFonts w:asciiTheme="minorHAnsi" w:hAnsiTheme="minorHAnsi" w:cstheme="minorHAnsi"/>
          <w:b/>
          <w:bCs/>
          <w:color w:val="000000" w:themeColor="text1"/>
          <w:lang w:val="pl"/>
        </w:rPr>
        <w:t>w rodzinie</w:t>
      </w:r>
    </w:p>
    <w:p w14:paraId="274BA5FF" w14:textId="05DC1A7E" w:rsidR="004838B3" w:rsidRPr="008B4C9B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proofErr w:type="spellStart"/>
      <w:r w:rsidRPr="008B4C9B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8B4C9B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8B4C9B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8B4C9B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8B4C9B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8B4C9B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8B4C9B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8B4C9B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8B4C9B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8B4C9B">
        <w:rPr>
          <w:b/>
          <w:bCs/>
          <w:i w:val="0"/>
          <w:iCs/>
          <w:color w:val="000000" w:themeColor="text1"/>
          <w:lang w:val="en-US"/>
        </w:rPr>
        <w:t>:</w:t>
      </w:r>
      <w:r w:rsidR="008B4C9B" w:rsidRPr="008B4C9B">
        <w:rPr>
          <w:rFonts w:ascii="Times New Roman" w:eastAsia="Arial Unicode MS" w:hAnsi="Times New Roman" w:cs="Times New Roman"/>
          <w:b/>
          <w:i w:val="0"/>
          <w:color w:val="222222"/>
          <w:sz w:val="20"/>
          <w:szCs w:val="20"/>
          <w:shd w:val="clear" w:color="auto" w:fill="F8F9FA"/>
          <w:lang w:val="en-US" w:bidi="ar-SA"/>
        </w:rPr>
        <w:t xml:space="preserve"> </w:t>
      </w:r>
      <w:r w:rsidR="008B4C9B" w:rsidRPr="008B4C9B">
        <w:rPr>
          <w:b/>
          <w:bCs/>
          <w:i w:val="0"/>
          <w:iCs/>
          <w:color w:val="000000" w:themeColor="text1"/>
          <w:lang w:val="en-US"/>
        </w:rPr>
        <w:t>Social contexts of old man's functioning in the family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1C89F7B" w:rsidR="000746C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B08939" w:rsidR="000746C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E9D60BC" w:rsidR="00AB3480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16D5D50" w:rsidR="000746C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A4FD25" w:rsidR="000746C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5EAF8F5" w:rsidR="001373A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BF8095C" w:rsidR="000746C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A70A566" w:rsidR="000746C5" w:rsidRPr="00341AC4" w:rsidRDefault="008B4C9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z gerontologii społecznej</w:t>
            </w:r>
            <w:r w:rsid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socjologii, pedagogiki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1DABFF7" w:rsidR="000746C5" w:rsidRPr="00E604E4" w:rsidRDefault="008B4C9B" w:rsidP="008B4C9B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B4C9B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633378D" w:rsidR="000746C5" w:rsidRPr="00341AC4" w:rsidRDefault="008B4C9B" w:rsidP="008B4C9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C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8B4C9B" w:rsidRPr="00341AC4" w14:paraId="7FFE317E" w14:textId="77777777" w:rsidTr="00B72990">
        <w:trPr>
          <w:trHeight w:val="285"/>
          <w:jc w:val="center"/>
        </w:trPr>
        <w:tc>
          <w:tcPr>
            <w:tcW w:w="3466" w:type="dxa"/>
          </w:tcPr>
          <w:p w14:paraId="12EBBD92" w14:textId="5CF8C483" w:rsidR="008B4C9B" w:rsidRPr="00341AC4" w:rsidRDefault="008B4C9B" w:rsidP="008B4C9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2CCC747D" w:rsidR="008B4C9B" w:rsidRPr="00341AC4" w:rsidRDefault="008B4C9B" w:rsidP="008B4C9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4C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8B4C9B" w:rsidRPr="00341AC4" w14:paraId="70E32DCA" w14:textId="77777777" w:rsidTr="00B72990">
        <w:trPr>
          <w:trHeight w:val="282"/>
          <w:jc w:val="center"/>
        </w:trPr>
        <w:tc>
          <w:tcPr>
            <w:tcW w:w="3466" w:type="dxa"/>
          </w:tcPr>
          <w:p w14:paraId="55BDBC2A" w14:textId="467B498A" w:rsidR="008B4C9B" w:rsidRPr="00341AC4" w:rsidRDefault="008B4C9B" w:rsidP="008B4C9B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13E38F21" w:rsidR="008B4C9B" w:rsidRPr="008B4C9B" w:rsidRDefault="008B4C9B" w:rsidP="008B4C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4C9B">
              <w:rPr>
                <w:rFonts w:asciiTheme="minorHAnsi" w:hAnsiTheme="minorHAnsi" w:cstheme="minorHAnsi"/>
                <w:sz w:val="20"/>
                <w:szCs w:val="20"/>
              </w:rPr>
              <w:t>Wykład konwersatoryjny, dyskusja, metoda projektów</w:t>
            </w:r>
          </w:p>
        </w:tc>
      </w:tr>
      <w:tr w:rsidR="008B4C9B" w:rsidRPr="00341AC4" w14:paraId="1DDA2B5B" w14:textId="77777777" w:rsidTr="00BB0B34">
        <w:trPr>
          <w:trHeight w:val="285"/>
          <w:jc w:val="center"/>
        </w:trPr>
        <w:tc>
          <w:tcPr>
            <w:tcW w:w="3466" w:type="dxa"/>
          </w:tcPr>
          <w:p w14:paraId="16A3B496" w14:textId="606439FB" w:rsidR="008B4C9B" w:rsidRPr="00341AC4" w:rsidRDefault="008B4C9B" w:rsidP="008B4C9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10C986" w14:textId="77777777" w:rsidR="008B4C9B" w:rsidRDefault="008B4C9B" w:rsidP="008B4C9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Dubas E., Humanistyczny obraz starości. Przesłanki dla gerontologii humanistycznej, Łódź 2024.</w:t>
            </w:r>
          </w:p>
          <w:p w14:paraId="381008F3" w14:textId="77777777" w:rsidR="008B4C9B" w:rsidRPr="00742575" w:rsidRDefault="008B4C9B" w:rsidP="008B4C9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 Krawczyk-Blicharska M, Potaczała-Perz K., Wsparcie społeczne w starości- ujęcie pedagogiczne i psychologiczne z aplikacjami do praktyki, Toruń 2025.</w:t>
            </w:r>
          </w:p>
          <w:p w14:paraId="5A342213" w14:textId="77777777" w:rsidR="008B4C9B" w:rsidRPr="00742575" w:rsidRDefault="008B4C9B" w:rsidP="008B4C9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Chabior A., Wspomaganie procesu pomyślnego starzenia się u ludzi starych – między powinnością a profesją. Impuls, Kraków 2017.</w:t>
            </w:r>
          </w:p>
          <w:p w14:paraId="1D0C1DE7" w14:textId="77777777" w:rsidR="008B4C9B" w:rsidRPr="00742575" w:rsidRDefault="008B4C9B" w:rsidP="008B4C9B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Chabior A i in., Ludzka starość. Zagadnienia gerontologii społecznej, Kraków 2018.</w:t>
            </w:r>
          </w:p>
          <w:p w14:paraId="02D4791A" w14:textId="69EE6ED3" w:rsidR="008B4C9B" w:rsidRDefault="008B4C9B" w:rsidP="008B4C9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</w:t>
            </w:r>
            <w:r w:rsidRPr="007425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Aktywizacja i aktywność osób w okresie późnej dorosłości. Kielce 2011.</w:t>
            </w:r>
          </w:p>
          <w:p w14:paraId="0C7D22B6" w14:textId="47CE0CC9" w:rsidR="008B4C9B" w:rsidRPr="008B4C9B" w:rsidRDefault="008B4C9B" w:rsidP="008B4C9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8B4C9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Satir</w:t>
            </w:r>
            <w:proofErr w:type="spellEnd"/>
            <w:r w:rsidRPr="008B4C9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V. Rodzina. Tu powstaje człowiek, GWP, Gdańska 2002</w:t>
            </w:r>
          </w:p>
          <w:p w14:paraId="21539079" w14:textId="7F013A8B" w:rsidR="008B4C9B" w:rsidRPr="008B4C9B" w:rsidRDefault="008B4C9B" w:rsidP="008B4C9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7. </w:t>
            </w:r>
            <w:r w:rsidRPr="008B4C9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Przygoda A., Społeczne role dziadków w procesie socjalizacji wnuków, Marszałek, Toruń 2015</w:t>
            </w:r>
          </w:p>
        </w:tc>
      </w:tr>
      <w:tr w:rsidR="008B4C9B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8B4C9B" w:rsidRPr="00341AC4" w:rsidRDefault="008B4C9B" w:rsidP="008B4C9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D3BA9E5" w14:textId="77777777" w:rsidR="008B4C9B" w:rsidRDefault="008B4C9B" w:rsidP="008B4C9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Muszyński M., Uczenie się stawania się osobą starą, Łódź 2024.</w:t>
            </w:r>
          </w:p>
          <w:p w14:paraId="7456B6D4" w14:textId="639E9769" w:rsidR="008B4C9B" w:rsidRPr="00341AC4" w:rsidRDefault="008B4C9B" w:rsidP="008B4C9B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Korycki A., Kultura ludowa jako narzędzie aktywizacji seniorów, Siedlce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0D2CAAB" w14:textId="0B33AAD0" w:rsidR="00B553F5" w:rsidRPr="00B553F5" w:rsidRDefault="00B553F5" w:rsidP="00B553F5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B553F5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Wykłady:</w:t>
      </w:r>
    </w:p>
    <w:p w14:paraId="2B6E70C1" w14:textId="7048B35E" w:rsidR="00B553F5" w:rsidRPr="00B553F5" w:rsidRDefault="00B553F5" w:rsidP="00B553F5">
      <w:pPr>
        <w:pStyle w:val="TableParagraph"/>
        <w:numPr>
          <w:ilvl w:val="0"/>
          <w:numId w:val="11"/>
        </w:numPr>
        <w:spacing w:line="276" w:lineRule="auto"/>
        <w:ind w:left="709" w:hanging="142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 xml:space="preserve">C1- </w:t>
      </w: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t>Zapoznanie z elementarnymi pojęciami i wiedzą z zakresu społecznego i rodzinnego funkcjonowania człowieka starego. Dostarczenie wiedzy o różnych rodzajach struktur społecznych i instytucjach życia społecznego oraz zachodzących miedzy nimi relacjach</w:t>
      </w:r>
    </w:p>
    <w:p w14:paraId="7F1035A3" w14:textId="77777777" w:rsidR="00B553F5" w:rsidRPr="00B553F5" w:rsidRDefault="00B553F5" w:rsidP="00B553F5">
      <w:pPr>
        <w:pStyle w:val="TableParagraph"/>
        <w:numPr>
          <w:ilvl w:val="0"/>
          <w:numId w:val="11"/>
        </w:numPr>
        <w:spacing w:line="276" w:lineRule="auto"/>
        <w:ind w:left="709" w:hanging="142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lastRenderedPageBreak/>
        <w:t xml:space="preserve">C2-Przygotowanie studentów do rozwiązywania problemów w obszarze gerontologii społecznej </w:t>
      </w:r>
    </w:p>
    <w:p w14:paraId="37EF2043" w14:textId="7100FC4A" w:rsidR="00B553F5" w:rsidRPr="00B553F5" w:rsidRDefault="00B553F5" w:rsidP="00B553F5">
      <w:pPr>
        <w:pStyle w:val="TableParagraph"/>
        <w:numPr>
          <w:ilvl w:val="0"/>
          <w:numId w:val="11"/>
        </w:numPr>
        <w:spacing w:line="276" w:lineRule="auto"/>
        <w:ind w:left="709" w:hanging="142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t>C3-kształtowanie postawy otwartości i tolerancji do ludzi starych oraz umiejętności dyskusji w obszarze zagadnień związanych ze społecznym i rodzinnym funkcjonowaniem ludzi starzejących się i starych.</w:t>
      </w:r>
    </w:p>
    <w:p w14:paraId="6BB579C3" w14:textId="7033F952" w:rsidR="00B553F5" w:rsidRPr="00B553F5" w:rsidRDefault="00B553F5" w:rsidP="00B553F5">
      <w:pPr>
        <w:pStyle w:val="TableParagraph"/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t xml:space="preserve">             Ćwiczenia:</w:t>
      </w:r>
    </w:p>
    <w:p w14:paraId="7FAF429F" w14:textId="02786021" w:rsidR="00B553F5" w:rsidRPr="00B553F5" w:rsidRDefault="00B553F5" w:rsidP="00B553F5">
      <w:pPr>
        <w:pStyle w:val="TableParagraph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t>C1-Zapoznanie z teoriami rozwojowymi człowieka w cyklu życia i wybranymi teoriami starzenia się.</w:t>
      </w:r>
    </w:p>
    <w:p w14:paraId="1C46A2F7" w14:textId="77777777" w:rsidR="00B553F5" w:rsidRPr="00B553F5" w:rsidRDefault="00B553F5" w:rsidP="00B553F5">
      <w:pPr>
        <w:pStyle w:val="TableParagraph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t>C2-Umiejętność odczytywania potrzeb seniorów i planowania działań zmierzających do ich zaspokojenia</w:t>
      </w:r>
    </w:p>
    <w:p w14:paraId="0F7A1430" w14:textId="4B55FA36" w:rsidR="00B553F5" w:rsidRPr="00B553F5" w:rsidRDefault="00B553F5" w:rsidP="00B553F5">
      <w:pPr>
        <w:pStyle w:val="TableParagraph"/>
        <w:numPr>
          <w:ilvl w:val="0"/>
          <w:numId w:val="11"/>
        </w:numPr>
        <w:spacing w:line="276" w:lineRule="auto"/>
        <w:ind w:left="851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B553F5">
        <w:rPr>
          <w:rFonts w:asciiTheme="minorHAnsi" w:hAnsiTheme="minorHAnsi" w:cstheme="minorHAnsi"/>
          <w:iCs/>
          <w:color w:val="000000" w:themeColor="text1"/>
          <w:lang w:val="pl"/>
        </w:rPr>
        <w:t>C3-Kształtowanie postawy otwartości i tolerancji do ludzi starych i rozumienia problemów społecznych dotyczących osób starzejących się i starych.</w:t>
      </w:r>
    </w:p>
    <w:p w14:paraId="17F1DFB6" w14:textId="77777777" w:rsidR="00B553F5" w:rsidRPr="00B553F5" w:rsidRDefault="00B553F5" w:rsidP="00B553F5">
      <w:pPr>
        <w:pStyle w:val="TableParagraph"/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</w:p>
    <w:p w14:paraId="67708B6E" w14:textId="70D8D22B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6C6915F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B553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  </w:t>
      </w:r>
    </w:p>
    <w:p w14:paraId="20BDF6C3" w14:textId="2F32860A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Konotacje definicyjne związane ze starością i funkcjonowaniem ludzi starych.</w:t>
      </w:r>
    </w:p>
    <w:p w14:paraId="63BD5A4E" w14:textId="493E6B16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Demograficzne zjawisko starzenia się społeczeństwa polskiego i społeczeństw Europy.</w:t>
      </w:r>
    </w:p>
    <w:p w14:paraId="333D0725" w14:textId="7A8378CB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 xml:space="preserve">Ochrona praw osób starszych w zakresie wsparcia społecznego </w:t>
      </w:r>
    </w:p>
    <w:p w14:paraId="4747F4A0" w14:textId="0E8497C9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 xml:space="preserve">Współczesne przemiany społeczne a sytuacja człowieka starego w społeczeństwie i rodzinie, w tym o charakterze </w:t>
      </w:r>
      <w:proofErr w:type="spellStart"/>
      <w:r w:rsidRPr="00B553F5">
        <w:rPr>
          <w:rFonts w:asciiTheme="minorHAnsi" w:hAnsiTheme="minorHAnsi" w:cstheme="minorHAnsi"/>
          <w:color w:val="000000" w:themeColor="text1"/>
        </w:rPr>
        <w:t>wykluczacającym</w:t>
      </w:r>
      <w:proofErr w:type="spellEnd"/>
      <w:r w:rsidRPr="00B553F5">
        <w:rPr>
          <w:rFonts w:asciiTheme="minorHAnsi" w:hAnsiTheme="minorHAnsi" w:cstheme="minorHAnsi"/>
          <w:color w:val="000000" w:themeColor="text1"/>
        </w:rPr>
        <w:t>.</w:t>
      </w:r>
    </w:p>
    <w:p w14:paraId="2E808454" w14:textId="17504C32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Rodzina wielopokoleniowa a sytuacja w niej człowieka starego, problemy w przekazie międzypokoleniowym.</w:t>
      </w:r>
    </w:p>
    <w:p w14:paraId="13615B11" w14:textId="7E87E9E2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Człowiek stary jako dziadek/babcia – podstawowe role w starości.</w:t>
      </w:r>
    </w:p>
    <w:p w14:paraId="18EF58C5" w14:textId="3F248D7F" w:rsidR="00B553F5" w:rsidRPr="00B553F5" w:rsidRDefault="00B553F5" w:rsidP="006B433E">
      <w:pPr>
        <w:pStyle w:val="TableParagraph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Rodzina w sytuacji choroby osób starych – konieczność sprawowania opieki .</w:t>
      </w:r>
    </w:p>
    <w:p w14:paraId="31EDF398" w14:textId="70E145A5" w:rsidR="00B553F5" w:rsidRPr="00B553F5" w:rsidRDefault="00B553F5" w:rsidP="006B433E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553F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3C923C16" w14:textId="77777777" w:rsidR="00B553F5" w:rsidRPr="00B553F5" w:rsidRDefault="00B553F5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Zapoznanie z kartą przedmiotu i wymaganiami w związku z zaliczeniem przedmiotu.</w:t>
      </w:r>
    </w:p>
    <w:p w14:paraId="5117DC1A" w14:textId="77777777" w:rsidR="00B553F5" w:rsidRPr="00B553F5" w:rsidRDefault="00B553F5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Specyfika postrzegania roli człowieka starego w polskiej rodzinie na tle innych krajów (kraje skandynawskie)</w:t>
      </w:r>
    </w:p>
    <w:p w14:paraId="1B63AF8F" w14:textId="71A0BB9E" w:rsidR="00B553F5" w:rsidRPr="00B553F5" w:rsidRDefault="00B553F5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Role człowieka starego w rodzinie</w:t>
      </w:r>
      <w:r w:rsidR="006B433E">
        <w:rPr>
          <w:rFonts w:asciiTheme="minorHAnsi" w:hAnsiTheme="minorHAnsi" w:cstheme="minorHAnsi"/>
          <w:color w:val="000000" w:themeColor="text1"/>
        </w:rPr>
        <w:t xml:space="preserve"> i jej przeobrażenia na przestrzeni ostatniej dekady.</w:t>
      </w:r>
    </w:p>
    <w:p w14:paraId="5A52B9D2" w14:textId="6AD5435E" w:rsidR="00B553F5" w:rsidRPr="00B553F5" w:rsidRDefault="006B433E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Specyfika i m</w:t>
      </w:r>
      <w:r w:rsidR="00B553F5" w:rsidRPr="00B553F5">
        <w:rPr>
          <w:rFonts w:asciiTheme="minorHAnsi" w:hAnsiTheme="minorHAnsi" w:cstheme="minorHAnsi"/>
          <w:color w:val="000000" w:themeColor="text1"/>
        </w:rPr>
        <w:t>ożliwości zaspokajania potrzeba człowieka starego w rodzinie</w:t>
      </w:r>
    </w:p>
    <w:p w14:paraId="32AF81F6" w14:textId="2F2414B1" w:rsidR="00B553F5" w:rsidRPr="00B553F5" w:rsidRDefault="006B433E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Samotność i p</w:t>
      </w:r>
      <w:r w:rsidR="00B553F5" w:rsidRPr="00B553F5">
        <w:rPr>
          <w:rFonts w:asciiTheme="minorHAnsi" w:hAnsiTheme="minorHAnsi" w:cstheme="minorHAnsi"/>
          <w:color w:val="000000" w:themeColor="text1"/>
        </w:rPr>
        <w:t>oczucie osamotnienia człowieka starego we własnej rodzinie</w:t>
      </w:r>
      <w:r>
        <w:rPr>
          <w:rFonts w:asciiTheme="minorHAnsi" w:hAnsiTheme="minorHAnsi" w:cstheme="minorHAnsi"/>
          <w:color w:val="000000" w:themeColor="text1"/>
        </w:rPr>
        <w:t xml:space="preserve"> – możliwości/obszary rozwiązań.</w:t>
      </w:r>
    </w:p>
    <w:p w14:paraId="72DDB3A6" w14:textId="1BB38507" w:rsidR="006B433E" w:rsidRDefault="006B433E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Społeczne i kulturowe wyznaczniki opieki w starości.</w:t>
      </w:r>
    </w:p>
    <w:p w14:paraId="2EEB491B" w14:textId="31EA53F3" w:rsidR="00B553F5" w:rsidRPr="006B433E" w:rsidRDefault="00B553F5" w:rsidP="006B433E">
      <w:pPr>
        <w:pStyle w:val="TableParagraph"/>
        <w:numPr>
          <w:ilvl w:val="0"/>
          <w:numId w:val="39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B553F5">
        <w:rPr>
          <w:rFonts w:asciiTheme="minorHAnsi" w:hAnsiTheme="minorHAnsi" w:cstheme="minorHAnsi"/>
          <w:color w:val="000000" w:themeColor="text1"/>
        </w:rPr>
        <w:t>Gotowość młodzieży do podjęcia opieki nad starym członkiem rodziny</w:t>
      </w:r>
      <w:r w:rsidR="006B433E">
        <w:rPr>
          <w:rFonts w:asciiTheme="minorHAnsi" w:hAnsiTheme="minorHAnsi" w:cstheme="minorHAnsi"/>
          <w:color w:val="000000" w:themeColor="text1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3680752" w:rsidR="006E60C3" w:rsidRPr="00341AC4" w:rsidRDefault="006B433E" w:rsidP="006B433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Zna specyfikę funkcjonowania człowieka starego w rodzinie w rożnych kontekstach społecznych, jego rolę, potrzeby i zadania</w:t>
            </w:r>
          </w:p>
        </w:tc>
        <w:tc>
          <w:tcPr>
            <w:tcW w:w="1773" w:type="dxa"/>
          </w:tcPr>
          <w:p w14:paraId="1881EAEC" w14:textId="5543DFDF" w:rsidR="006E60C3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PS2P_W03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B433E" w:rsidRPr="00341AC4" w14:paraId="3F10EFF6" w14:textId="77777777" w:rsidTr="00EB6B8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6B433E" w:rsidRPr="00341AC4" w:rsidRDefault="006B433E" w:rsidP="006B43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30C" w14:textId="6E24D13F" w:rsidR="006B433E" w:rsidRPr="006B433E" w:rsidRDefault="006B433E" w:rsidP="006B43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433E">
              <w:rPr>
                <w:rFonts w:asciiTheme="minorHAnsi" w:hAnsiTheme="minorHAnsi" w:cstheme="minorHAnsi"/>
                <w:sz w:val="20"/>
                <w:szCs w:val="20"/>
              </w:rPr>
              <w:t>Wykazuje się umiejętnościami podejmowania działań diagnostycznych w odniesieniu do sytuacji seniora w rodzinie</w:t>
            </w:r>
          </w:p>
        </w:tc>
        <w:tc>
          <w:tcPr>
            <w:tcW w:w="1773" w:type="dxa"/>
          </w:tcPr>
          <w:p w14:paraId="69BAD1D6" w14:textId="76B1BDFD" w:rsidR="006B433E" w:rsidRPr="00341AC4" w:rsidRDefault="006B433E" w:rsidP="006B43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PS2P_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U04</w:t>
            </w:r>
          </w:p>
        </w:tc>
      </w:tr>
      <w:tr w:rsidR="006B433E" w:rsidRPr="00341AC4" w14:paraId="4D5F8E78" w14:textId="77777777" w:rsidTr="00EB6B85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50E579F2" w:rsidR="006B433E" w:rsidRPr="00341AC4" w:rsidRDefault="006B433E" w:rsidP="006B43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8C0" w14:textId="157C59F9" w:rsidR="006B433E" w:rsidRPr="006B433E" w:rsidRDefault="006B433E" w:rsidP="006B433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sz w:val="20"/>
                <w:szCs w:val="20"/>
              </w:rPr>
              <w:t>Potrafi odpowiednio określić priorytety i zaplanować działania służące realizacji promocji zdrowia w odniesieniu do seniorów</w:t>
            </w:r>
          </w:p>
        </w:tc>
        <w:tc>
          <w:tcPr>
            <w:tcW w:w="1773" w:type="dxa"/>
          </w:tcPr>
          <w:p w14:paraId="3E869DC6" w14:textId="760BCACC" w:rsidR="006B433E" w:rsidRPr="00341AC4" w:rsidRDefault="006B433E" w:rsidP="006B43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PS2P_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565782A" w:rsidR="00A713B4" w:rsidRPr="00341AC4" w:rsidRDefault="006B433E" w:rsidP="006B433E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Ma świadomość konieczności ciągłego aktualizowania swojej wiedzy dla poszerzania możliwości niesienia pomocy osobom potrzebującym w tym także starym</w:t>
            </w:r>
          </w:p>
        </w:tc>
        <w:tc>
          <w:tcPr>
            <w:tcW w:w="1773" w:type="dxa"/>
          </w:tcPr>
          <w:p w14:paraId="3E07749A" w14:textId="30C043BE" w:rsidR="00A713B4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PS2P_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K09</w:t>
            </w:r>
          </w:p>
        </w:tc>
      </w:tr>
    </w:tbl>
    <w:p w14:paraId="34DD4D67" w14:textId="77777777" w:rsidR="006B433E" w:rsidRDefault="006B433E" w:rsidP="006B433E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0294EF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6B433E" w:rsidRPr="00341AC4" w14:paraId="0519EDA3" w14:textId="77777777" w:rsidTr="006B433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6B433E" w:rsidRPr="00341AC4" w:rsidRDefault="006B433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12A2F641" w:rsidR="006B433E" w:rsidRPr="00341AC4" w:rsidRDefault="006B433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5838B5CA" w:rsidR="006B433E" w:rsidRPr="00341AC4" w:rsidRDefault="006B433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765B8FEB" w:rsidR="006B433E" w:rsidRPr="00341AC4" w:rsidRDefault="006B433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rezentacja multimedialna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6B433E" w:rsidRPr="00341AC4" w:rsidRDefault="006B433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5C738EC3" w:rsidR="006B433E" w:rsidRPr="00341AC4" w:rsidRDefault="006B433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B433E" w:rsidRPr="00341AC4" w14:paraId="6A3E527E" w14:textId="77777777" w:rsidTr="006B433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6B433E" w:rsidRPr="00341AC4" w:rsidRDefault="006B433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6B433E" w:rsidRPr="00341AC4" w:rsidRDefault="006B433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B433E" w:rsidRPr="00341AC4" w14:paraId="3BDEFA32" w14:textId="77777777" w:rsidTr="006B433E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C14A8D" w:rsidR="006B433E" w:rsidRPr="00341AC4" w:rsidRDefault="006B433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0752844F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1464A51" w14:textId="0D2C6F92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09DD381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FFCFEF0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5DE11A3D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DDF7904" w14:textId="1FB86D74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17E8E8D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433E" w:rsidRPr="00341AC4" w14:paraId="46ACCB6F" w14:textId="77777777" w:rsidTr="006B433E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2853A0C" w:rsidR="006B433E" w:rsidRPr="00341AC4" w:rsidRDefault="006B433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03AA85F9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5D9CA6D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CCFADA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014BC613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045750C" w14:textId="52FA6C97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F2F7C01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433E" w:rsidRPr="00341AC4" w14:paraId="4C5B236F" w14:textId="77777777" w:rsidTr="006B433E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5999249" w:rsidR="006B433E" w:rsidRPr="006B433E" w:rsidRDefault="006B433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B43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3FE24892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1DA5B70" w14:textId="7CC0EACF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0F2B25A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0DC069D8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0CDB87F0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B433E" w:rsidRPr="00341AC4" w14:paraId="5E8F52D0" w14:textId="77777777" w:rsidTr="006B433E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E81ACFF" w:rsidR="006B433E" w:rsidRPr="00341AC4" w:rsidRDefault="006B433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6706DBD5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7152E0E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9A945A2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599B2F9D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139DE" w14:textId="6C24C4B4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55E433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5CFAC612" w:rsidR="006B433E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6B433E" w:rsidRPr="00341AC4" w:rsidRDefault="006B43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81DE9" w:rsidRPr="00341AC4" w14:paraId="672C2EA3" w14:textId="77777777" w:rsidTr="00CB2D91">
        <w:trPr>
          <w:jc w:val="center"/>
        </w:trPr>
        <w:tc>
          <w:tcPr>
            <w:tcW w:w="961" w:type="dxa"/>
          </w:tcPr>
          <w:p w14:paraId="7282B9F9" w14:textId="3884805E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5C92688F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 xml:space="preserve">od 50% punktów z egzaminu </w:t>
            </w:r>
            <w:r>
              <w:rPr>
                <w:b w:val="0"/>
                <w:bCs w:val="0"/>
                <w:color w:val="00000A"/>
              </w:rPr>
              <w:t>ustnego</w:t>
            </w:r>
          </w:p>
        </w:tc>
      </w:tr>
      <w:tr w:rsidR="00381DE9" w:rsidRPr="00341AC4" w14:paraId="191A8847" w14:textId="77777777" w:rsidTr="00CB2D91">
        <w:trPr>
          <w:jc w:val="center"/>
        </w:trPr>
        <w:tc>
          <w:tcPr>
            <w:tcW w:w="961" w:type="dxa"/>
          </w:tcPr>
          <w:p w14:paraId="25062119" w14:textId="6064F88F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6FB51A4B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61% punktów z egzaminu</w:t>
            </w:r>
            <w:r w:rsidRPr="00381DE9">
              <w:rPr>
                <w:color w:val="00000A"/>
                <w:sz w:val="22"/>
                <w:szCs w:val="22"/>
              </w:rPr>
              <w:t xml:space="preserve"> </w:t>
            </w:r>
            <w:r w:rsidRPr="00381DE9">
              <w:rPr>
                <w:b w:val="0"/>
                <w:bCs w:val="0"/>
                <w:color w:val="00000A"/>
              </w:rPr>
              <w:t>ustnego</w:t>
            </w:r>
          </w:p>
        </w:tc>
      </w:tr>
      <w:tr w:rsidR="00381DE9" w:rsidRPr="00341AC4" w14:paraId="7BF20CBE" w14:textId="77777777" w:rsidTr="00CB2D91">
        <w:trPr>
          <w:jc w:val="center"/>
        </w:trPr>
        <w:tc>
          <w:tcPr>
            <w:tcW w:w="961" w:type="dxa"/>
          </w:tcPr>
          <w:p w14:paraId="29EACE8E" w14:textId="2BB375CB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0E806BF6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71%punktów z egzaminu ustnego</w:t>
            </w:r>
          </w:p>
        </w:tc>
      </w:tr>
      <w:tr w:rsidR="00381DE9" w:rsidRPr="00341AC4" w14:paraId="478904CC" w14:textId="77777777" w:rsidTr="00CB2D91">
        <w:trPr>
          <w:jc w:val="center"/>
        </w:trPr>
        <w:tc>
          <w:tcPr>
            <w:tcW w:w="961" w:type="dxa"/>
          </w:tcPr>
          <w:p w14:paraId="0FDFC951" w14:textId="5053B0DF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5ECEBE3A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81% punktów z egzaminu ustnego</w:t>
            </w:r>
          </w:p>
        </w:tc>
      </w:tr>
      <w:tr w:rsidR="00381DE9" w:rsidRPr="00341AC4" w14:paraId="20136594" w14:textId="77777777" w:rsidTr="00381DE9">
        <w:trPr>
          <w:trHeight w:val="314"/>
          <w:jc w:val="center"/>
        </w:trPr>
        <w:tc>
          <w:tcPr>
            <w:tcW w:w="961" w:type="dxa"/>
          </w:tcPr>
          <w:p w14:paraId="6E89E57E" w14:textId="7A286ACA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6630992F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91% punktów z egzaminu ustnego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81DE9" w:rsidRPr="00341AC4" w14:paraId="277FAE1E" w14:textId="77777777" w:rsidTr="00F27B1F">
        <w:trPr>
          <w:jc w:val="center"/>
        </w:trPr>
        <w:tc>
          <w:tcPr>
            <w:tcW w:w="953" w:type="dxa"/>
          </w:tcPr>
          <w:p w14:paraId="19E1F1F0" w14:textId="1553B4E9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2D9C2485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50% punktów z kolokwium, obecności i aktywności na zajęciach, prezentacja multimedialna</w:t>
            </w:r>
          </w:p>
        </w:tc>
      </w:tr>
      <w:tr w:rsidR="00381DE9" w:rsidRPr="00341AC4" w14:paraId="11404FDC" w14:textId="77777777" w:rsidTr="00F27B1F">
        <w:trPr>
          <w:jc w:val="center"/>
        </w:trPr>
        <w:tc>
          <w:tcPr>
            <w:tcW w:w="953" w:type="dxa"/>
          </w:tcPr>
          <w:p w14:paraId="684786CB" w14:textId="64E3E01F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5A31D1AA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61% punktów z kolokwium, obecności i aktywności na zajęciach, prezentacja multimedialna</w:t>
            </w:r>
          </w:p>
        </w:tc>
      </w:tr>
      <w:tr w:rsidR="00381DE9" w:rsidRPr="00341AC4" w14:paraId="7B8C31F7" w14:textId="77777777" w:rsidTr="00F27B1F">
        <w:trPr>
          <w:jc w:val="center"/>
        </w:trPr>
        <w:tc>
          <w:tcPr>
            <w:tcW w:w="953" w:type="dxa"/>
          </w:tcPr>
          <w:p w14:paraId="6B4477CC" w14:textId="1CB33891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4454E4F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71% punktów z kolokwium, obecności i aktywności na zajęciach ,prezentacja multimedialna</w:t>
            </w:r>
          </w:p>
        </w:tc>
      </w:tr>
      <w:tr w:rsidR="00381DE9" w:rsidRPr="00341AC4" w14:paraId="53052AEB" w14:textId="77777777" w:rsidTr="00F27B1F">
        <w:trPr>
          <w:jc w:val="center"/>
        </w:trPr>
        <w:tc>
          <w:tcPr>
            <w:tcW w:w="953" w:type="dxa"/>
          </w:tcPr>
          <w:p w14:paraId="4C65D833" w14:textId="37FCA98B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31DA0797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81% punktów z kolokwium, obecności i aktywności na zajęciach, prezentacja multimedialna</w:t>
            </w:r>
          </w:p>
        </w:tc>
      </w:tr>
      <w:tr w:rsidR="00381DE9" w:rsidRPr="00341AC4" w14:paraId="59CC13F9" w14:textId="77777777" w:rsidTr="00F27B1F">
        <w:trPr>
          <w:jc w:val="center"/>
        </w:trPr>
        <w:tc>
          <w:tcPr>
            <w:tcW w:w="953" w:type="dxa"/>
          </w:tcPr>
          <w:p w14:paraId="084C6C17" w14:textId="089DBAF5" w:rsidR="00381DE9" w:rsidRPr="00341AC4" w:rsidRDefault="00381DE9" w:rsidP="00381DE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1461EBFF" w:rsidR="00381DE9" w:rsidRPr="00381DE9" w:rsidRDefault="00381DE9" w:rsidP="00381DE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81DE9">
              <w:rPr>
                <w:b w:val="0"/>
                <w:bCs w:val="0"/>
                <w:color w:val="00000A"/>
              </w:rPr>
              <w:t>od 91% punktów z kolokwium, obecności i aktywności na zajęciach, prezentacja multimedialna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D0CB00C" w:rsidR="00896E3C" w:rsidRPr="00341AC4" w:rsidRDefault="00FC53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51405FC" w:rsidR="00896E3C" w:rsidRPr="00341AC4" w:rsidRDefault="00FC53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805316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40CAF8A1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5D705A68" w:rsidR="00896E3C" w:rsidRPr="00341AC4" w:rsidRDefault="00FC53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E785C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5525BBE9" w:rsidR="00896E3C" w:rsidRPr="00341AC4" w:rsidRDefault="00FC53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BC1BD7B" w:rsidR="00896E3C" w:rsidRPr="00341AC4" w:rsidRDefault="00FC53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B489B9A" w:rsidR="00896E3C" w:rsidRPr="00341AC4" w:rsidRDefault="00381DE9" w:rsidP="002878B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2878B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1A95EE9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003D58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31F8E17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5F0949CB" w:rsidR="00896E3C" w:rsidRPr="00341AC4" w:rsidRDefault="002878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  <w:bookmarkStart w:id="1" w:name="_GoBack"/>
            <w:bookmarkEnd w:id="1"/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8424DE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646B0675" w14:textId="1F5AA93B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75F07008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E2355B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5C9ACE0A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363C79D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F00F286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4CB4B44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2650375" w:rsidR="001106D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613474C" w:rsidR="00896E3C" w:rsidRPr="00341AC4" w:rsidRDefault="00381DE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588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6" w15:restartNumberingAfterBreak="0">
    <w:nsid w:val="5C113D76"/>
    <w:multiLevelType w:val="multilevel"/>
    <w:tmpl w:val="4C34E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CC3137B"/>
    <w:multiLevelType w:val="hybridMultilevel"/>
    <w:tmpl w:val="1C52E128"/>
    <w:lvl w:ilvl="0" w:tplc="2A986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5"/>
  </w:num>
  <w:num w:numId="3">
    <w:abstractNumId w:val="18"/>
  </w:num>
  <w:num w:numId="4">
    <w:abstractNumId w:val="35"/>
  </w:num>
  <w:num w:numId="5">
    <w:abstractNumId w:val="3"/>
  </w:num>
  <w:num w:numId="6">
    <w:abstractNumId w:val="33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5"/>
  </w:num>
  <w:num w:numId="12">
    <w:abstractNumId w:val="32"/>
  </w:num>
  <w:num w:numId="13">
    <w:abstractNumId w:val="12"/>
  </w:num>
  <w:num w:numId="14">
    <w:abstractNumId w:val="29"/>
  </w:num>
  <w:num w:numId="15">
    <w:abstractNumId w:val="31"/>
  </w:num>
  <w:num w:numId="16">
    <w:abstractNumId w:val="30"/>
  </w:num>
  <w:num w:numId="17">
    <w:abstractNumId w:val="20"/>
  </w:num>
  <w:num w:numId="18">
    <w:abstractNumId w:val="9"/>
  </w:num>
  <w:num w:numId="19">
    <w:abstractNumId w:val="13"/>
  </w:num>
  <w:num w:numId="20">
    <w:abstractNumId w:val="2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8"/>
  </w:num>
  <w:num w:numId="30">
    <w:abstractNumId w:val="6"/>
  </w:num>
  <w:num w:numId="31">
    <w:abstractNumId w:val="16"/>
  </w:num>
  <w:num w:numId="32">
    <w:abstractNumId w:val="22"/>
  </w:num>
  <w:num w:numId="33">
    <w:abstractNumId w:val="4"/>
  </w:num>
  <w:num w:numId="34">
    <w:abstractNumId w:val="15"/>
  </w:num>
  <w:num w:numId="35">
    <w:abstractNumId w:val="8"/>
  </w:num>
  <w:num w:numId="36">
    <w:abstractNumId w:val="27"/>
  </w:num>
  <w:num w:numId="37">
    <w:abstractNumId w:val="26"/>
  </w:num>
  <w:num w:numId="38">
    <w:abstractNumId w:val="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78B3"/>
    <w:rsid w:val="00341AC4"/>
    <w:rsid w:val="0034602B"/>
    <w:rsid w:val="003622B2"/>
    <w:rsid w:val="00363F81"/>
    <w:rsid w:val="00381DE9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433E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B4C9B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553F5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87CF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C5386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6DB1-AB84-4198-A9E4-B1C8A70A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7</cp:revision>
  <cp:lastPrinted>2025-10-28T07:51:00Z</cp:lastPrinted>
  <dcterms:created xsi:type="dcterms:W3CDTF">2025-12-11T11:01:00Z</dcterms:created>
  <dcterms:modified xsi:type="dcterms:W3CDTF">2026-07-15T21:15:00Z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