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ind w:left="6889" w:hanging="6889"/>
        <w:jc w:val="right"/>
        <w:rPr>
          <w:rFonts w:ascii="Calibri" w:hAnsi="Calibri" w:cs="Calibri" w:asciiTheme="minorHAnsi" w:cstheme="minorHAnsi" w:hAnsiTheme="minorHAnsi"/>
          <w:iCs/>
          <w:color w:val="000000" w:themeColor="text1"/>
          <w:sz w:val="24"/>
          <w:szCs w:val="24"/>
        </w:rPr>
      </w:pPr>
      <w:r>
        <w:rPr>
          <w:rFonts w:cs="Calibri" w:cstheme="minorHAnsi" w:ascii="Calibri" w:hAnsi="Calibri"/>
          <w:iCs/>
          <w:color w:val="000000" w:themeColor="text1"/>
          <w:sz w:val="24"/>
          <w:szCs w:val="24"/>
        </w:rPr>
      </w:r>
    </w:p>
    <w:p>
      <w:pPr>
        <w:pStyle w:val="Nagwek1"/>
        <w:spacing w:lineRule="auto" w:line="276" w:before="240" w:after="360"/>
        <w:jc w:val="center"/>
        <w:rPr>
          <w:rFonts w:ascii="Calibri" w:hAnsi="Calibri" w:cs="Calibri" w:asciiTheme="minorHAnsi" w:cstheme="minorHAnsi" w:hAnsiTheme="minorHAnsi"/>
          <w:b/>
          <w:bCs/>
          <w:iCs/>
          <w:color w:val="000000" w:themeColor="text1"/>
        </w:rPr>
      </w:pPr>
      <w:r>
        <w:rPr>
          <w:rFonts w:cs="Calibri" w:ascii="Calibri" w:hAnsi="Calibri" w:asciiTheme="minorHAnsi" w:cstheme="minorHAnsi" w:hAnsiTheme="minorHAnsi"/>
          <w:b/>
          <w:bCs/>
          <w:iCs/>
          <w:color w:val="auto"/>
        </w:rPr>
        <w:t xml:space="preserve">KARTA </w:t>
      </w:r>
      <w:r>
        <w:rPr>
          <w:rFonts w:cs="Calibri" w:ascii="Calibri" w:hAnsi="Calibri" w:asciiTheme="minorHAnsi" w:cstheme="minorHAnsi" w:hAnsiTheme="minorHAnsi"/>
          <w:b/>
          <w:bCs/>
          <w:iCs/>
          <w:color w:val="000000" w:themeColor="text1"/>
        </w:rPr>
        <w:t>PRZEDMIOTU (ZAJĘĆ)</w:t>
      </w:r>
    </w:p>
    <w:p>
      <w:pPr>
        <w:pStyle w:val="Tretekstu"/>
        <w:tabs>
          <w:tab w:val="clear" w:pos="720"/>
          <w:tab w:val="left" w:pos="10065" w:leader="dot"/>
        </w:tabs>
        <w:spacing w:lineRule="auto" w:line="276" w:before="240" w:after="240"/>
        <w:ind w:left="425" w:hanging="0"/>
        <w:rPr>
          <w:rFonts w:ascii="Calibri" w:hAnsi="Calibri" w:cs="Calibri" w:asciiTheme="minorHAnsi" w:cstheme="minorHAnsi" w:hAnsiTheme="minorHAnsi"/>
          <w:iCs/>
          <w:color w:val="000000" w:themeColor="text1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iCs/>
          <w:color w:val="000000" w:themeColor="text1"/>
          <w:sz w:val="24"/>
          <w:szCs w:val="24"/>
        </w:rPr>
        <w:t xml:space="preserve">Kod przedmiotu (zajęć): </w:t>
      </w:r>
      <w:r>
        <w:rPr>
          <w:rFonts w:eastAsia="宋体" w:cs="Calibri" w:ascii="Calibri" w:hAnsi="Calibri" w:asciiTheme="minorHAnsi" w:cstheme="minorHAnsi" w:hAnsiTheme="minorHAnsi"/>
          <w:b/>
          <w:bCs/>
          <w:color w:val="000000" w:themeColor="text1"/>
          <w:sz w:val="24"/>
          <w:szCs w:val="24"/>
          <w:lang w:val="pl-PL" w:eastAsia="pl-PL" w:bidi="pl-PL"/>
        </w:rPr>
        <w:t xml:space="preserve"> </w:t>
      </w:r>
      <w:r>
        <w:rPr>
          <w:rFonts w:eastAsia="宋体" w:cs="" w:ascii="Calibri" w:hAnsi="Calibri"/>
          <w:b/>
          <w:bCs/>
          <w:i w:val="false"/>
          <w:iCs/>
          <w:color w:val="000000" w:themeColor="text1"/>
          <w:kern w:val="0"/>
          <w:sz w:val="24"/>
          <w:szCs w:val="24"/>
          <w:lang w:val="pl-PL" w:eastAsia="pl-PL" w:bidi="pl-PL"/>
        </w:rPr>
        <w:t>0923.3.PS1.B/C23.MNPS</w:t>
      </w:r>
    </w:p>
    <w:p>
      <w:pPr>
        <w:pStyle w:val="Nagwek3"/>
        <w:spacing w:lineRule="auto" w:line="276"/>
        <w:ind w:firstLine="426"/>
        <w:rPr>
          <w:rFonts w:ascii="Calibri" w:hAnsi="Calibri" w:cs="Calibri" w:asciiTheme="minorHAnsi" w:cstheme="minorHAnsi" w:hAnsiTheme="minorHAnsi"/>
          <w:b/>
          <w:bCs/>
          <w:color w:val="000000" w:themeColor="text1"/>
        </w:rPr>
      </w:pPr>
      <w:r>
        <w:rPr>
          <w:rFonts w:cs="Calibri" w:ascii="Calibri" w:hAnsi="Calibri" w:asciiTheme="minorHAnsi" w:cstheme="minorHAnsi" w:hAnsiTheme="minorHAnsi"/>
          <w:b/>
          <w:bCs/>
          <w:color w:val="000000" w:themeColor="text1"/>
        </w:rPr>
        <w:t xml:space="preserve">Nazwa przedmiotu </w:t>
      </w:r>
      <w:bookmarkStart w:id="0" w:name="_Hlk210305669"/>
      <w:r>
        <w:rPr>
          <w:rFonts w:cs="Calibri" w:ascii="Calibri" w:hAnsi="Calibri" w:asciiTheme="minorHAnsi" w:cstheme="minorHAnsi" w:hAnsiTheme="minorHAnsi"/>
          <w:b/>
          <w:bCs/>
          <w:color w:val="000000" w:themeColor="text1"/>
        </w:rPr>
        <w:t xml:space="preserve">(zajęć) </w:t>
      </w:r>
      <w:bookmarkEnd w:id="0"/>
      <w:r>
        <w:rPr>
          <w:rFonts w:cs="Calibri" w:ascii="Calibri" w:hAnsi="Calibri" w:asciiTheme="minorHAnsi" w:cstheme="minorHAnsi" w:hAnsiTheme="minorHAnsi"/>
          <w:b/>
          <w:bCs/>
          <w:color w:val="000000" w:themeColor="text1"/>
        </w:rPr>
        <w:t>w języku polski</w:t>
      </w:r>
      <w:r>
        <w:rPr>
          <w:rFonts w:eastAsia="宋体" w:cs="" w:ascii="Calibri" w:hAnsi="Calibri"/>
          <w:b/>
          <w:bCs/>
          <w:i w:val="false"/>
          <w:iCs/>
          <w:color w:val="000000" w:themeColor="text1"/>
          <w:sz w:val="24"/>
          <w:szCs w:val="24"/>
          <w:lang w:val="pl-PL" w:eastAsia="pl-PL" w:bidi="pl-PL"/>
        </w:rPr>
        <w:t xml:space="preserve">m: </w:t>
      </w:r>
      <w:r>
        <w:rPr>
          <w:rFonts w:eastAsia="宋体" w:cs="" w:ascii="Calibri" w:hAnsi="Calibri"/>
          <w:b/>
          <w:bCs/>
          <w:i w:val="false"/>
          <w:iCs/>
          <w:color w:val="000000" w:themeColor="text1"/>
          <w:kern w:val="0"/>
          <w:sz w:val="24"/>
          <w:szCs w:val="24"/>
          <w:lang w:val="pl-PL" w:eastAsia="pl-PL" w:bidi="pl-PL"/>
        </w:rPr>
        <w:t>Mediacje i negocjacje w pracy socjalnej</w:t>
      </w:r>
    </w:p>
    <w:p>
      <w:pPr>
        <w:pStyle w:val="Normal"/>
        <w:spacing w:lineRule="auto" w:line="276"/>
        <w:ind w:firstLine="426"/>
        <w:rPr>
          <w:rFonts w:ascii="Calibri" w:hAnsi="Calibri" w:cs="Calibri" w:asciiTheme="minorHAnsi" w:cstheme="minorHAnsi" w:hAnsiTheme="minorHAnsi"/>
          <w:b/>
          <w:bCs/>
          <w:color w:val="000000" w:themeColor="text1"/>
        </w:rPr>
      </w:pPr>
      <w:r>
        <w:rPr>
          <w:rFonts w:cs="Calibri" w:cstheme="minorHAnsi" w:ascii="Calibri" w:hAnsi="Calibri"/>
          <w:b/>
          <w:bCs/>
          <w:color w:val="000000" w:themeColor="text1"/>
        </w:rPr>
      </w:r>
    </w:p>
    <w:p>
      <w:pPr>
        <w:pStyle w:val="Styl1"/>
        <w:spacing w:lineRule="auto" w:line="276"/>
        <w:ind w:firstLine="426"/>
        <w:rPr>
          <w:rFonts w:ascii="Calibri" w:hAnsi="Calibri" w:eastAsia="宋体" w:cs=""/>
          <w:b/>
          <w:bCs/>
          <w:i w:val="false"/>
          <w:i w:val="false"/>
          <w:iCs/>
          <w:color w:val="000000" w:themeColor="text1"/>
          <w:sz w:val="24"/>
          <w:szCs w:val="24"/>
          <w:lang w:val="pl-PL" w:eastAsia="pl-PL" w:bidi="pl-PL"/>
        </w:rPr>
      </w:pPr>
      <w:r>
        <w:rPr>
          <w:rFonts w:eastAsia="宋体" w:cs=""/>
          <w:b/>
          <w:bCs/>
          <w:i w:val="false"/>
          <w:iCs/>
          <w:color w:val="000000" w:themeColor="text1"/>
          <w:sz w:val="24"/>
          <w:szCs w:val="24"/>
          <w:lang w:val="pl-PL" w:eastAsia="pl-PL" w:bidi="pl-PL"/>
        </w:rPr>
        <w:t>Nazwa przedmiotu (zajęć) w języku angielskim:   Mediation and negotiations in social work</w:t>
      </w:r>
    </w:p>
    <w:p>
      <w:pPr>
        <w:pStyle w:val="Nagwek2"/>
        <w:numPr>
          <w:ilvl w:val="0"/>
          <w:numId w:val="1"/>
        </w:numPr>
        <w:shd w:val="clear" w:color="auto" w:fill="auto"/>
        <w:snapToGrid w:val="false"/>
        <w:spacing w:lineRule="auto" w:line="276" w:before="240" w:after="120"/>
        <w:ind w:left="845" w:right="544" w:hanging="357"/>
        <w:rPr>
          <w:iCs/>
          <w:color w:val="000000" w:themeColor="text1"/>
          <w:sz w:val="24"/>
          <w:szCs w:val="24"/>
        </w:rPr>
      </w:pPr>
      <w:r>
        <w:rPr>
          <w:iCs/>
          <w:color w:val="000000" w:themeColor="text1"/>
          <w:sz w:val="24"/>
          <w:szCs w:val="24"/>
        </w:rPr>
        <w:t>Usytuowanie przedmiotu (zajęć) w systemie studiów</w:t>
      </w:r>
    </w:p>
    <w:tbl>
      <w:tblPr>
        <w:tblStyle w:val="TableNormal"/>
        <w:tblW w:w="9747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741"/>
        <w:gridCol w:w="5005"/>
      </w:tblGrid>
      <w:tr>
        <w:trPr>
          <w:trHeight w:val="282" w:hRule="atLeast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555" w:hanging="425"/>
              <w:jc w:val="left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208" w:right="183" w:hanging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b/>
                <w:bCs/>
                <w:iCs/>
                <w:color w:val="000000" w:themeColor="text1"/>
                <w:kern w:val="0"/>
                <w:sz w:val="24"/>
                <w:szCs w:val="24"/>
              </w:rPr>
              <w:t>Praca socjalna</w:t>
            </w:r>
          </w:p>
        </w:tc>
      </w:tr>
      <w:tr>
        <w:trPr>
          <w:trHeight w:val="285" w:hRule="atLeast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555" w:hanging="425"/>
              <w:jc w:val="left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208" w:right="183" w:hanging="0"/>
              <w:jc w:val="left"/>
              <w:rPr>
                <w:rFonts w:ascii="Calibri" w:hAnsi="Calibri" w:eastAsia="Times New Roman" w:cs="Calibri" w:asciiTheme="minorHAnsi" w:cstheme="minorHAnsi" w:hAnsiTheme="minorHAnsi"/>
                <w:b/>
                <w:bCs/>
                <w:iCs/>
                <w:color w:val="000000" w:themeColor="text1"/>
                <w:kern w:val="0"/>
                <w:sz w:val="24"/>
                <w:szCs w:val="24"/>
                <w:lang w:val="pl-PL" w:eastAsia="pl-PL" w:bidi="pl-PL"/>
              </w:rPr>
            </w:pPr>
            <w:r>
              <w:rPr>
                <w:rFonts w:eastAsia="Times New Roman" w:cs="Calibri" w:ascii="Calibri" w:hAnsi="Calibri" w:cstheme="minorHAnsi"/>
                <w:b/>
                <w:bCs/>
                <w:iCs/>
                <w:color w:val="000000" w:themeColor="text1"/>
                <w:kern w:val="0"/>
                <w:sz w:val="24"/>
                <w:szCs w:val="24"/>
                <w:lang w:val="pl-PL" w:eastAsia="pl-PL" w:bidi="pl-PL"/>
              </w:rPr>
              <w:t>stacjonarne/niestacjonarne</w:t>
            </w:r>
          </w:p>
        </w:tc>
      </w:tr>
      <w:tr>
        <w:trPr>
          <w:trHeight w:val="285" w:hRule="atLeast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555" w:hanging="425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 w:themeColor="text1"/>
                <w:kern w:val="0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208" w:right="183" w:hanging="0"/>
              <w:jc w:val="left"/>
              <w:rPr>
                <w:rFonts w:ascii="Calibri" w:hAnsi="Calibri" w:eastAsia="Times New Roman" w:cs="Calibri" w:asciiTheme="minorHAnsi" w:cstheme="minorHAnsi" w:hAnsiTheme="minorHAnsi"/>
                <w:b/>
                <w:bCs/>
                <w:iCs/>
                <w:color w:val="000000" w:themeColor="text1"/>
                <w:kern w:val="0"/>
                <w:sz w:val="24"/>
                <w:szCs w:val="24"/>
                <w:lang w:val="pl-PL" w:eastAsia="pl-PL" w:bidi="pl-PL"/>
              </w:rPr>
            </w:pPr>
            <w:r>
              <w:rPr>
                <w:rFonts w:eastAsia="Times New Roman" w:cs="Calibri" w:ascii="Calibri" w:hAnsi="Calibri" w:cstheme="minorHAnsi"/>
                <w:b/>
                <w:bCs/>
                <w:iCs/>
                <w:color w:val="000000" w:themeColor="text1"/>
                <w:kern w:val="0"/>
                <w:sz w:val="24"/>
                <w:szCs w:val="24"/>
                <w:lang w:val="pl-PL" w:eastAsia="pl-PL" w:bidi="pl-PL"/>
              </w:rPr>
              <w:t xml:space="preserve">Pierwszego stopnia - licencjackie </w:t>
            </w:r>
          </w:p>
        </w:tc>
      </w:tr>
      <w:tr>
        <w:trPr>
          <w:trHeight w:val="285" w:hRule="atLeast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555" w:hanging="425"/>
              <w:jc w:val="left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208" w:right="183" w:hanging="0"/>
              <w:jc w:val="left"/>
              <w:rPr>
                <w:rFonts w:ascii="Calibri" w:hAnsi="Calibri" w:eastAsia="Times New Roman" w:cs="Calibri" w:asciiTheme="minorHAnsi" w:cstheme="minorHAnsi" w:hAnsiTheme="minorHAnsi"/>
                <w:b/>
                <w:bCs/>
                <w:iCs/>
                <w:color w:val="000000" w:themeColor="text1"/>
                <w:kern w:val="0"/>
                <w:sz w:val="24"/>
                <w:szCs w:val="24"/>
                <w:lang w:val="pl-PL" w:eastAsia="pl-PL" w:bidi="pl-PL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b/>
                <w:bCs/>
                <w:iCs/>
                <w:color w:val="000000" w:themeColor="text1"/>
                <w:kern w:val="0"/>
                <w:sz w:val="24"/>
                <w:szCs w:val="24"/>
                <w:lang w:val="pl-PL" w:eastAsia="pl-PL" w:bidi="pl-PL"/>
              </w:rPr>
              <w:t>Praktyczny</w:t>
            </w:r>
          </w:p>
        </w:tc>
      </w:tr>
      <w:tr>
        <w:trPr>
          <w:trHeight w:val="282" w:hRule="atLeast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555" w:hanging="425"/>
              <w:jc w:val="left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208" w:right="183" w:hanging="0"/>
              <w:jc w:val="left"/>
              <w:rPr>
                <w:rFonts w:ascii="Calibri" w:hAnsi="Calibri" w:eastAsia="Times New Roman" w:cs="Calibri" w:asciiTheme="minorHAnsi" w:cstheme="minorHAnsi" w:hAnsiTheme="minorHAnsi"/>
                <w:b/>
                <w:bCs/>
                <w:iCs/>
                <w:color w:val="000000" w:themeColor="text1"/>
                <w:kern w:val="0"/>
                <w:sz w:val="24"/>
                <w:szCs w:val="24"/>
                <w:lang w:val="pl-PL" w:eastAsia="pl-PL" w:bidi="pl-PL"/>
              </w:rPr>
            </w:pPr>
            <w:r>
              <w:rPr>
                <w:rFonts w:eastAsia="Times New Roman" w:cs="Calibri" w:ascii="Calibri" w:hAnsi="Calibri" w:cstheme="minorHAnsi"/>
                <w:b/>
                <w:bCs/>
                <w:iCs/>
                <w:color w:val="000000" w:themeColor="text1"/>
                <w:kern w:val="0"/>
                <w:sz w:val="24"/>
                <w:szCs w:val="24"/>
                <w:lang w:val="pl-PL" w:eastAsia="pl-PL" w:bidi="pl-PL"/>
              </w:rPr>
              <w:t>Monika Wojtkowiak</w:t>
            </w:r>
          </w:p>
        </w:tc>
      </w:tr>
      <w:tr>
        <w:trPr>
          <w:trHeight w:val="285" w:hRule="atLeast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1"/>
                <w:numId w:val="6"/>
              </w:numPr>
              <w:suppressAutoHyphens w:val="true"/>
              <w:spacing w:lineRule="auto" w:line="276" w:before="0" w:after="0"/>
              <w:ind w:left="555" w:hanging="425"/>
              <w:jc w:val="left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Kontakt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208" w:right="183" w:hanging="0"/>
              <w:jc w:val="left"/>
              <w:rPr>
                <w:rFonts w:ascii="Calibri" w:hAnsi="Calibri" w:eastAsia="Times New Roman" w:cs="Calibri" w:asciiTheme="minorHAnsi" w:cstheme="minorHAnsi" w:hAnsiTheme="minorHAnsi"/>
                <w:b/>
                <w:bCs/>
                <w:iCs/>
                <w:color w:val="000000" w:themeColor="text1"/>
                <w:kern w:val="0"/>
                <w:sz w:val="24"/>
                <w:szCs w:val="24"/>
                <w:lang w:val="pl-PL" w:eastAsia="pl-PL" w:bidi="pl-PL"/>
              </w:rPr>
            </w:pPr>
            <w:r>
              <w:rPr>
                <w:rFonts w:eastAsia="Times New Roman" w:cs="Calibri" w:ascii="Calibri" w:hAnsi="Calibri" w:cstheme="minorHAnsi"/>
                <w:b/>
                <w:bCs/>
                <w:iCs/>
                <w:color w:val="000000" w:themeColor="text1"/>
                <w:kern w:val="0"/>
                <w:sz w:val="24"/>
                <w:szCs w:val="24"/>
                <w:lang w:val="pl-PL" w:eastAsia="pl-PL" w:bidi="pl-PL"/>
              </w:rPr>
              <w:t>mwojtkowiak@ujk.edu.pl</w:t>
            </w:r>
          </w:p>
        </w:tc>
      </w:tr>
    </w:tbl>
    <w:p>
      <w:pPr>
        <w:pStyle w:val="Nagwek2"/>
        <w:numPr>
          <w:ilvl w:val="0"/>
          <w:numId w:val="1"/>
        </w:numPr>
        <w:shd w:val="clear" w:color="auto" w:fill="auto"/>
        <w:snapToGrid w:val="false"/>
        <w:spacing w:lineRule="auto" w:line="276" w:before="120" w:after="120"/>
        <w:ind w:left="850" w:right="544" w:hanging="360"/>
        <w:rPr>
          <w:iCs/>
          <w:color w:val="000000" w:themeColor="text1"/>
          <w:sz w:val="24"/>
          <w:szCs w:val="24"/>
        </w:rPr>
      </w:pPr>
      <w:r>
        <w:rPr>
          <w:iCs/>
          <w:color w:val="000000" w:themeColor="text1"/>
          <w:sz w:val="24"/>
          <w:szCs w:val="24"/>
        </w:rPr>
        <w:t>Ogólna charakterystyka przedmiotu (zajęć)</w:t>
      </w:r>
    </w:p>
    <w:tbl>
      <w:tblPr>
        <w:tblStyle w:val="TableNormal"/>
        <w:tblW w:w="9747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467"/>
        <w:gridCol w:w="6279"/>
      </w:tblGrid>
      <w:tr>
        <w:trPr>
          <w:trHeight w:val="285" w:hRule="atLeast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76" w:before="0" w:after="0"/>
              <w:ind w:left="487" w:hanging="357"/>
              <w:jc w:val="left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Język wykładowy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208" w:right="183" w:hanging="0"/>
              <w:jc w:val="left"/>
              <w:rPr>
                <w:rFonts w:ascii="Calibri" w:hAnsi="Calibri" w:eastAsia="Times New Roman" w:cs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</w:pPr>
            <w:r>
              <w:rPr>
                <w:rFonts w:eastAsia="Times New Roman" w:cs="Calibri" w:ascii="Calibri" w:hAnsi="Calibri" w:cstheme="minorHAnsi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  <w:t>polski</w:t>
            </w:r>
          </w:p>
        </w:tc>
      </w:tr>
      <w:tr>
        <w:trPr>
          <w:trHeight w:val="282" w:hRule="atLeast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suppressAutoHyphens w:val="true"/>
              <w:spacing w:lineRule="auto" w:line="276" w:before="0" w:after="0"/>
              <w:ind w:left="489" w:hanging="360"/>
              <w:jc w:val="left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Wymagania wstępne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208" w:right="183" w:hanging="0"/>
              <w:jc w:val="left"/>
              <w:rPr>
                <w:rFonts w:ascii="Calibri" w:hAnsi="Calibri" w:eastAsia="Times New Roman" w:cs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</w:pPr>
            <w:r>
              <w:rPr>
                <w:rFonts w:eastAsia="Times New Roman" w:cs="Calibri" w:ascii="Calibri" w:hAnsi="Calibri" w:cstheme="minorHAnsi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  <w:t>Podstawowa wiedza z  zakresu socjologii</w:t>
            </w:r>
          </w:p>
        </w:tc>
      </w:tr>
    </w:tbl>
    <w:p>
      <w:pPr>
        <w:pStyle w:val="Nagwek2"/>
        <w:numPr>
          <w:ilvl w:val="0"/>
          <w:numId w:val="1"/>
        </w:numPr>
        <w:shd w:val="clear" w:color="auto" w:fill="auto"/>
        <w:snapToGrid w:val="false"/>
        <w:spacing w:lineRule="auto" w:line="276" w:before="120" w:after="120"/>
        <w:ind w:left="850" w:right="544" w:hanging="360"/>
        <w:rPr>
          <w:iCs/>
          <w:color w:val="000000" w:themeColor="text1"/>
          <w:sz w:val="24"/>
          <w:szCs w:val="24"/>
        </w:rPr>
      </w:pPr>
      <w:r>
        <w:rPr>
          <w:iCs/>
          <w:color w:val="000000" w:themeColor="text1"/>
          <w:sz w:val="24"/>
          <w:szCs w:val="24"/>
        </w:rPr>
        <w:t>Szczegółowa charakterystyka przedmiotu (zajęć)</w:t>
      </w:r>
    </w:p>
    <w:tbl>
      <w:tblPr>
        <w:tblStyle w:val="TableNormal"/>
        <w:tblW w:w="9746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466"/>
        <w:gridCol w:w="6279"/>
      </w:tblGrid>
      <w:tr>
        <w:trPr>
          <w:trHeight w:val="285" w:hRule="atLeast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76" w:before="0" w:after="0"/>
              <w:ind w:left="489" w:hanging="360"/>
              <w:jc w:val="left"/>
              <w:rPr>
                <w:rFonts w:ascii="Calibri" w:hAnsi="Calibri" w:eastAsia="Times New Roman" w:cs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</w:pPr>
            <w:r>
              <w:rPr>
                <w:rFonts w:eastAsia="Times New Roman" w:cs="Calibri" w:ascii="Calibri" w:hAnsi="Calibri" w:cstheme="minorHAnsi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  <w:t>Forma zajęć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6" w:right="31" w:hanging="0"/>
              <w:jc w:val="left"/>
              <w:rPr>
                <w:rFonts w:ascii="Calibri" w:hAnsi="Calibri" w:eastAsia="Times New Roman" w:cs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</w:pPr>
            <w:r>
              <w:rPr>
                <w:rFonts w:eastAsia="Times New Roman" w:cs="Calibri" w:ascii="Calibri" w:hAnsi="Calibri" w:cstheme="minorHAnsi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  <w:t>Ćwiczenia</w:t>
            </w:r>
          </w:p>
        </w:tc>
      </w:tr>
      <w:tr>
        <w:trPr>
          <w:trHeight w:val="282" w:hRule="atLeast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76" w:before="0" w:after="0"/>
              <w:ind w:left="489" w:hanging="360"/>
              <w:jc w:val="left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6" w:right="183" w:hanging="0"/>
              <w:jc w:val="left"/>
              <w:rPr>
                <w:rFonts w:ascii="Calibri" w:hAnsi="Calibri" w:eastAsia="Times New Roman" w:cs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</w:pPr>
            <w:r>
              <w:rPr>
                <w:rFonts w:eastAsia="Times New Roman" w:cs="Calibri" w:ascii="Calibri" w:hAnsi="Calibri" w:cstheme="minorHAnsi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  <w:t xml:space="preserve">Pomieszczenia dydaktyczne UJK </w:t>
            </w:r>
          </w:p>
        </w:tc>
      </w:tr>
      <w:tr>
        <w:trPr>
          <w:trHeight w:val="285" w:hRule="atLeast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76" w:before="0" w:after="0"/>
              <w:ind w:left="489" w:hanging="360"/>
              <w:jc w:val="left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6" w:right="183" w:hanging="0"/>
              <w:jc w:val="left"/>
              <w:rPr/>
            </w:pPr>
            <w:r>
              <w:rPr>
                <w:rFonts w:eastAsia="Times New Roman" w:cs="Calibri" w:ascii="Calibri" w:hAnsi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  <w:t>Zaliczenie z oceną</w:t>
            </w:r>
          </w:p>
        </w:tc>
      </w:tr>
      <w:tr>
        <w:trPr>
          <w:trHeight w:val="282" w:hRule="atLeast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76" w:before="0" w:after="0"/>
              <w:ind w:left="489" w:hanging="360"/>
              <w:jc w:val="left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6" w:right="183" w:hanging="0"/>
              <w:jc w:val="left"/>
              <w:rPr>
                <w:rFonts w:ascii="Calibri" w:hAnsi="Calibri" w:cs="Calibri" w:asciiTheme="minorHAnsi" w:cstheme="minorHAnsi" w:hAnsi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  <w:t>Ćwiczenia: odgrywanie ról, metody dramy stosowanej, studium przypadków, metody poznawcze</w:t>
            </w:r>
          </w:p>
        </w:tc>
      </w:tr>
      <w:tr>
        <w:trPr>
          <w:trHeight w:val="285" w:hRule="atLeast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272" w:hanging="142"/>
              <w:jc w:val="left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360" w:hanging="360"/>
              <w:rPr>
                <w:rFonts w:ascii="Calibri" w:hAnsi="Calibri"/>
                <w:sz w:val="20"/>
                <w:szCs w:val="20"/>
              </w:rPr>
            </w:pPr>
            <w:r>
              <w:rPr>
                <w:rFonts w:cs="Times New Roman" w:ascii="Calibri" w:hAnsi="Calibri"/>
                <w:color w:val="000000"/>
                <w:sz w:val="20"/>
                <w:szCs w:val="20"/>
              </w:rPr>
              <w:t>E. Gmurzyńska, R. Morek (red.), Mediacje. Teoria i praktyka, Warszawa 2014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ind w:left="360" w:hanging="360"/>
              <w:rPr>
                <w:rFonts w:ascii="Calibri" w:hAnsi="Calibri"/>
                <w:sz w:val="20"/>
                <w:szCs w:val="20"/>
              </w:rPr>
            </w:pPr>
            <w:r>
              <w:rPr>
                <w:rFonts w:cs="Times New Roman" w:ascii="Calibri" w:hAnsi="Calibri"/>
                <w:color w:val="000000"/>
                <w:sz w:val="20"/>
                <w:szCs w:val="20"/>
              </w:rPr>
              <w:t>M. Wojtkowiak, S. Tusznio, Mediacje i negocjacje jako formy rozwiązywania konfliktu, Wyd. Wszechnicy Świętokrzyskiej, Kielce 2004.</w:t>
            </w:r>
          </w:p>
          <w:p>
            <w:pPr>
              <w:pStyle w:val="Akapitzlist"/>
              <w:widowControl w:val="false"/>
              <w:numPr>
                <w:ilvl w:val="0"/>
                <w:numId w:val="7"/>
              </w:numPr>
              <w:ind w:left="360" w:hanging="36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 w:cs="Calibri" w:ascii="Calibri" w:hAnsi="Calibri" w:asciiTheme="minorHAnsi" w:cstheme="minorHAnsi" w:hAnsiTheme="minorHAnsi"/>
                <w:b w:val="false"/>
                <w:bCs w:val="false"/>
                <w:iCs/>
                <w:color w:val="000000" w:themeColor="text1"/>
                <w:kern w:val="0"/>
                <w:sz w:val="20"/>
                <w:szCs w:val="20"/>
                <w:lang w:val="pl-PL" w:eastAsia="pl-PL" w:bidi="pl-PL"/>
              </w:rPr>
              <w:t>CH. W. Moore, Mediacje. Praktyczne strategie rozwiązywania konfliktów, Wolters Kluwer, Warszawa 2012.</w:t>
            </w:r>
          </w:p>
          <w:p>
            <w:pPr>
              <w:pStyle w:val="Normal"/>
              <w:widowControl w:val="false"/>
              <w:ind w:left="66" w:right="0" w:hanging="0"/>
              <w:rPr>
                <w:rFonts w:ascii="Calibri" w:hAnsi="Calibri" w:eastAsia="Times New Roman;Times New Roman PSMT" w:cs="Times New Roman;Times New Roman PSMT"/>
                <w:color w:val="000000"/>
                <w:sz w:val="20"/>
                <w:szCs w:val="20"/>
              </w:rPr>
            </w:pPr>
            <w:r>
              <w:rPr>
                <w:rFonts w:eastAsia="Times New Roman;Times New Roman PSMT" w:cs="Times New Roman;Times New Roman PSMT" w:ascii="Calibri" w:hAnsi="Calibri"/>
                <w:color w:val="000000"/>
                <w:sz w:val="20"/>
                <w:szCs w:val="20"/>
              </w:rPr>
            </w:r>
          </w:p>
        </w:tc>
      </w:tr>
      <w:tr>
        <w:trPr>
          <w:trHeight w:val="285" w:hRule="atLeast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272" w:hanging="142"/>
              <w:jc w:val="left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Akapitzlist"/>
              <w:widowControl w:val="false"/>
              <w:numPr>
                <w:ilvl w:val="0"/>
                <w:numId w:val="8"/>
              </w:numPr>
              <w:ind w:left="360" w:hanging="360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Arial Unicode MS;Arial" w:ascii="Calibri" w:hAnsi="Calibri"/>
                <w:kern w:val="0"/>
                <w:sz w:val="20"/>
                <w:szCs w:val="20"/>
                <w:lang w:val="pl-PL" w:eastAsia="pl-PL" w:bidi="ar-SA"/>
              </w:rPr>
              <w:t>Lewicka</w:t>
            </w:r>
            <w:r>
              <w:rPr>
                <w:rFonts w:ascii="Calibri" w:hAnsi="Calibri"/>
                <w:sz w:val="20"/>
                <w:szCs w:val="20"/>
              </w:rPr>
              <w:t xml:space="preserve"> (red.), Profesjonalny mediator, Wyd. Uniwersytetu Marii Curie-Skłodowskiej, Lublin 2008.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ind w:left="360" w:hanging="360"/>
              <w:rPr>
                <w:rFonts w:ascii="Calibri" w:hAnsi="Calibri"/>
                <w:sz w:val="20"/>
                <w:szCs w:val="20"/>
              </w:rPr>
            </w:pPr>
            <w:r>
              <w:rPr>
                <w:rFonts w:cs="Times New Roman" w:ascii="Calibri" w:hAnsi="Calibri"/>
                <w:color w:val="000000"/>
                <w:sz w:val="20"/>
                <w:szCs w:val="20"/>
              </w:rPr>
              <w:t>O. Sitarz, Metodyka pracy mediatora w sprawach karnych, Difin, Warszawa 2015.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ind w:left="360" w:hanging="360"/>
              <w:rPr>
                <w:rFonts w:ascii="Calibri" w:hAnsi="Calibri"/>
                <w:sz w:val="20"/>
                <w:szCs w:val="20"/>
              </w:rPr>
            </w:pPr>
            <w:r>
              <w:rPr>
                <w:rFonts w:cs="Times New Roman" w:ascii="Calibri" w:hAnsi="Calibri"/>
                <w:color w:val="000000"/>
                <w:sz w:val="20"/>
                <w:szCs w:val="20"/>
              </w:rPr>
              <w:t>L. Mazowiecka (red.), Mediacja dla każdego, Wyd. Wolters Kluwer, Warszawa 2010.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ind w:left="360" w:hanging="360"/>
              <w:rPr>
                <w:rFonts w:ascii="Calibri" w:hAnsi="Calibri"/>
                <w:sz w:val="20"/>
                <w:szCs w:val="20"/>
              </w:rPr>
            </w:pPr>
            <w:r>
              <w:rPr>
                <w:rFonts w:eastAsia="Times New Roman" w:cs="Times New Roman" w:ascii="Calibri" w:hAnsi="Calibri"/>
                <w:b w:val="false"/>
                <w:bCs w:val="false"/>
                <w:iCs/>
                <w:color w:val="000000" w:themeColor="text1"/>
                <w:kern w:val="0"/>
                <w:sz w:val="20"/>
                <w:szCs w:val="20"/>
                <w:lang w:val="pl-PL" w:eastAsia="pl-PL" w:bidi="pl-PL"/>
              </w:rPr>
              <w:t>Kodeks Etyki Mediatora, Polskie Centrum Mediacji, Warszawa 2001.</w:t>
            </w:r>
          </w:p>
          <w:p>
            <w:pPr>
              <w:pStyle w:val="Normal"/>
              <w:widowControl w:val="false"/>
              <w:rPr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iCs/>
                <w:color w:val="000000" w:themeColor="text1"/>
                <w:kern w:val="0"/>
                <w:sz w:val="20"/>
                <w:szCs w:val="20"/>
                <w:lang w:val="pl-PL" w:eastAsia="pl-PL" w:bidi="pl-PL"/>
              </w:rPr>
            </w:pPr>
            <w:r>
              <w:rPr>
                <w:rFonts w:eastAsia="Times New Roman" w:cs="Calibri" w:cstheme="minorHAnsi" w:ascii="Calibri" w:hAnsi="Calibri"/>
                <w:b w:val="false"/>
                <w:bCs w:val="false"/>
                <w:iCs/>
                <w:color w:val="000000" w:themeColor="text1"/>
                <w:kern w:val="0"/>
                <w:sz w:val="20"/>
                <w:szCs w:val="20"/>
                <w:lang w:val="pl-PL" w:eastAsia="pl-PL" w:bidi="pl-PL"/>
              </w:rPr>
            </w:r>
          </w:p>
        </w:tc>
      </w:tr>
    </w:tbl>
    <w:p>
      <w:pPr>
        <w:pStyle w:val="Nagwek2"/>
        <w:numPr>
          <w:ilvl w:val="0"/>
          <w:numId w:val="1"/>
        </w:numPr>
        <w:shd w:val="clear" w:color="auto" w:fill="auto"/>
        <w:snapToGrid w:val="false"/>
        <w:spacing w:lineRule="auto" w:line="276" w:before="120" w:after="120"/>
        <w:ind w:left="850" w:right="544" w:hanging="360"/>
        <w:rPr>
          <w:iCs/>
          <w:color w:val="000000" w:themeColor="text1"/>
          <w:sz w:val="24"/>
          <w:szCs w:val="24"/>
        </w:rPr>
      </w:pPr>
      <w:r>
        <w:rPr>
          <w:iCs/>
          <w:color w:val="000000" w:themeColor="text1"/>
          <w:sz w:val="24"/>
          <w:szCs w:val="24"/>
        </w:rPr>
        <w:t>Cele, treści i efekty uczenia się</w:t>
      </w:r>
    </w:p>
    <w:p>
      <w:pPr>
        <w:pStyle w:val="TableParagraph"/>
        <w:numPr>
          <w:ilvl w:val="1"/>
          <w:numId w:val="2"/>
        </w:numPr>
        <w:snapToGrid w:val="false"/>
        <w:spacing w:lineRule="auto" w:line="276"/>
        <w:ind w:left="1134" w:hanging="567"/>
        <w:rPr>
          <w:rFonts w:ascii="Calibri" w:hAnsi="Calibri" w:cs="Calibri" w:asciiTheme="minorHAnsi" w:cstheme="minorHAnsi" w:hAnsiTheme="minorHAnsi"/>
          <w:b/>
          <w:iCs/>
          <w:color w:val="000000" w:themeColor="text1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>
      <w:pPr>
        <w:pStyle w:val="TableParagraph"/>
        <w:numPr>
          <w:ilvl w:val="0"/>
          <w:numId w:val="0"/>
        </w:numPr>
        <w:snapToGrid w:val="false"/>
        <w:spacing w:lineRule="auto" w:line="276"/>
        <w:ind w:left="1134" w:hanging="0"/>
        <w:rPr>
          <w:rFonts w:ascii="Calibri" w:hAnsi="Calibri" w:cs="Calibri" w:asciiTheme="minorHAnsi" w:cstheme="minorHAnsi" w:hAnsiTheme="minorHAnsi"/>
          <w:b/>
          <w:iCs/>
          <w:color w:val="000000" w:themeColor="text1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iCs/>
          <w:color w:val="000000" w:themeColor="text1"/>
          <w:sz w:val="24"/>
          <w:szCs w:val="24"/>
        </w:rPr>
        <w:t>Ćwiczenia</w:t>
      </w:r>
    </w:p>
    <w:p>
      <w:pPr>
        <w:pStyle w:val="Tretekstu"/>
        <w:numPr>
          <w:ilvl w:val="0"/>
          <w:numId w:val="0"/>
        </w:numPr>
        <w:spacing w:lineRule="auto" w:line="276"/>
        <w:ind w:left="993" w:hanging="0"/>
        <w:rPr/>
      </w:pPr>
      <w:r>
        <w:rPr>
          <w:rFonts w:eastAsia="Times New Roman" w:cs="Calibri" w:ascii="Calibri" w:hAnsi="Calibri" w:asciiTheme="minorHAnsi" w:cstheme="minorHAnsi" w:hAnsiTheme="minorHAnsi"/>
          <w:b/>
          <w:iCs/>
          <w:color w:val="000000" w:themeColor="text1"/>
          <w:kern w:val="0"/>
          <w:sz w:val="24"/>
          <w:szCs w:val="24"/>
          <w:lang w:val="pl-PL" w:eastAsia="pl-PL" w:bidi="pl-PL"/>
        </w:rPr>
        <w:t>C1.  Zdobycie przez studentów wiedzy z zakresu technik negocjacyjnych i mediacyjnych. Zaznajomienie z  problematyką negocjacji w porównaniu do mediacji</w:t>
      </w:r>
    </w:p>
    <w:p>
      <w:pPr>
        <w:pStyle w:val="Tretekstu"/>
        <w:widowControl w:val="false"/>
        <w:suppressAutoHyphens w:val="true"/>
        <w:bidi w:val="0"/>
        <w:spacing w:before="0" w:after="283"/>
        <w:ind w:left="1020" w:right="0" w:hanging="0"/>
        <w:jc w:val="left"/>
        <w:rPr>
          <w:rFonts w:ascii="Calibri" w:hAnsi="Calibri" w:eastAsia="Times New Roman" w:cs="Calibri" w:asciiTheme="minorHAnsi" w:cstheme="minorHAnsi" w:hAnsiTheme="minorHAnsi"/>
          <w:b/>
          <w:iCs/>
          <w:color w:val="000000" w:themeColor="text1"/>
          <w:kern w:val="0"/>
          <w:sz w:val="24"/>
          <w:szCs w:val="24"/>
          <w:lang w:val="pl-PL" w:eastAsia="pl-PL" w:bidi="pl-PL"/>
        </w:rPr>
      </w:pPr>
      <w:r>
        <w:rPr>
          <w:rFonts w:eastAsia="Times New Roman" w:cs="Calibri" w:ascii="Calibri" w:hAnsi="Calibri" w:cstheme="minorHAnsi"/>
          <w:b/>
          <w:iCs/>
          <w:color w:val="000000" w:themeColor="text1"/>
          <w:kern w:val="0"/>
          <w:sz w:val="24"/>
          <w:szCs w:val="24"/>
          <w:lang w:val="pl-PL" w:eastAsia="pl-PL" w:bidi="pl-PL"/>
        </w:rPr>
        <w:t>C2. Rozwijanie umiejętności potrzebnych do niwelowania konfliktów i wykorzystania procedury negocjacji i mediacji</w:t>
      </w:r>
    </w:p>
    <w:p>
      <w:pPr>
        <w:pStyle w:val="Tretekstu"/>
        <w:widowControl w:val="false"/>
        <w:suppressAutoHyphens w:val="true"/>
        <w:bidi w:val="0"/>
        <w:spacing w:before="0" w:after="283"/>
        <w:ind w:left="1020" w:right="0" w:hanging="0"/>
        <w:jc w:val="left"/>
        <w:rPr>
          <w:rFonts w:ascii="Calibri" w:hAnsi="Calibri" w:eastAsia="Times New Roman" w:cs="Calibri" w:asciiTheme="minorHAnsi" w:cstheme="minorHAnsi" w:hAnsiTheme="minorHAnsi"/>
          <w:b/>
          <w:iCs/>
          <w:color w:val="000000" w:themeColor="text1"/>
          <w:kern w:val="0"/>
          <w:sz w:val="24"/>
          <w:szCs w:val="24"/>
          <w:lang w:val="pl-PL" w:eastAsia="pl-PL" w:bidi="pl-PL"/>
        </w:rPr>
      </w:pPr>
      <w:r>
        <w:rPr>
          <w:rFonts w:eastAsia="Times New Roman" w:cs="Calibri" w:ascii="Calibri" w:hAnsi="Calibri" w:cstheme="minorHAnsi"/>
          <w:b/>
          <w:iCs/>
          <w:color w:val="000000" w:themeColor="text1"/>
          <w:kern w:val="0"/>
          <w:sz w:val="24"/>
          <w:szCs w:val="24"/>
          <w:lang w:val="pl-PL" w:eastAsia="pl-PL" w:bidi="pl-PL"/>
        </w:rPr>
        <w:t>C3. Przygotowanie do wprowadzania innowacji w pracy socjalnej i postawy otwartości na ciekawe, optymalne rozwiązania, uwrażliwienie na potrzebę negocjacji i mediacji i korzyści jakie ze sobą niesie postępowanie mediacyjne</w:t>
      </w:r>
    </w:p>
    <w:p>
      <w:pPr>
        <w:pStyle w:val="TableParagraph"/>
        <w:numPr>
          <w:ilvl w:val="0"/>
          <w:numId w:val="0"/>
        </w:numPr>
        <w:spacing w:lineRule="auto" w:line="276"/>
        <w:ind w:left="0" w:hanging="0"/>
        <w:rPr>
          <w:rFonts w:ascii="Calibri" w:hAnsi="Calibri" w:eastAsia="Times New Roman" w:cs="Calibri" w:asciiTheme="minorHAnsi" w:cstheme="minorHAnsi" w:hAnsiTheme="minorHAnsi"/>
          <w:b w:val="false"/>
          <w:bCs/>
          <w:i w:val="false"/>
          <w:i w:val="false"/>
          <w:caps w:val="false"/>
          <w:smallCaps w:val="false"/>
          <w:color w:val="000000" w:themeColor="text1"/>
          <w:spacing w:val="0"/>
          <w:sz w:val="24"/>
          <w:szCs w:val="24"/>
          <w:lang w:val="pl-PL" w:eastAsia="pl-PL" w:bidi="pl-PL"/>
        </w:rPr>
      </w:pPr>
      <w:r>
        <w:rPr>
          <w:rFonts w:cs="Times New Roman;Times New Roman PSMT" w:ascii="Times New Roman;Times New Roman PSMT" w:hAnsi="Times New Roman;Times New Roman PSMT"/>
          <w:b w:val="false"/>
          <w:bCs/>
          <w:i w:val="false"/>
          <w:caps w:val="false"/>
          <w:smallCaps w:val="false"/>
          <w:color w:themeColor="text1"/>
          <w:spacing w:val="0"/>
          <w:sz w:val="18"/>
          <w:szCs w:val="18"/>
        </w:rPr>
        <w:t xml:space="preserve"> </w:t>
      </w:r>
    </w:p>
    <w:p>
      <w:pPr>
        <w:pStyle w:val="TableParagraph"/>
        <w:numPr>
          <w:ilvl w:val="1"/>
          <w:numId w:val="2"/>
        </w:numPr>
        <w:snapToGrid w:val="false"/>
        <w:spacing w:lineRule="auto" w:line="276"/>
        <w:ind w:left="1134" w:hanging="567"/>
        <w:rPr>
          <w:rFonts w:ascii="Calibri" w:hAnsi="Calibri" w:cs="Calibri" w:asciiTheme="minorHAnsi" w:cstheme="minorHAnsi" w:hAnsiTheme="minorHAnsi"/>
          <w:b/>
          <w:bCs/>
          <w:color w:val="000000" w:themeColor="text1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>
      <w:pPr>
        <w:pStyle w:val="TableParagraph"/>
        <w:spacing w:lineRule="auto" w:line="276" w:before="120" w:after="0"/>
        <w:ind w:left="1134" w:hanging="567"/>
        <w:rPr>
          <w:rFonts w:ascii="Calibri" w:hAnsi="Calibri" w:cs="Calibri" w:asciiTheme="minorHAnsi" w:cstheme="minorHAnsi" w:hAnsiTheme="minorHAnsi"/>
          <w:b/>
          <w:bCs/>
          <w:color w:val="000000" w:themeColor="text1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color w:val="000000" w:themeColor="text1"/>
          <w:sz w:val="24"/>
          <w:szCs w:val="24"/>
        </w:rPr>
        <w:t>Ćwiczenia</w:t>
      </w:r>
    </w:p>
    <w:p>
      <w:pPr>
        <w:pStyle w:val="Tretekstu"/>
        <w:numPr>
          <w:ilvl w:val="0"/>
          <w:numId w:val="0"/>
        </w:numPr>
        <w:spacing w:lineRule="auto" w:line="276"/>
        <w:ind w:left="993" w:hanging="0"/>
        <w:rPr>
          <w:rFonts w:ascii="Calibri" w:hAnsi="Calibri" w:eastAsia="Times New Roman" w:cs="Calibri" w:asciiTheme="minorHAnsi" w:cstheme="minorHAnsi" w:hAnsiTheme="minorHAnsi"/>
          <w:b/>
          <w:bCs/>
          <w:iCs/>
          <w:color w:val="000000" w:themeColor="text1"/>
          <w:kern w:val="0"/>
          <w:sz w:val="24"/>
          <w:szCs w:val="24"/>
          <w:lang w:val="pl-PL" w:eastAsia="pl-PL" w:bidi="pl-PL"/>
        </w:rPr>
      </w:pPr>
      <w:r>
        <w:rPr>
          <w:rFonts w:eastAsia="Times New Roman" w:cs="Calibri" w:ascii="Calibri" w:hAnsi="Calibri" w:cstheme="minorHAnsi"/>
          <w:b/>
          <w:bCs/>
          <w:iCs/>
          <w:color w:val="000000" w:themeColor="text1"/>
          <w:kern w:val="0"/>
          <w:sz w:val="24"/>
          <w:szCs w:val="24"/>
          <w:lang w:val="pl-PL" w:eastAsia="pl-PL" w:bidi="pl-PL"/>
        </w:rPr>
        <w:t xml:space="preserve"> </w:t>
      </w:r>
      <w:r>
        <w:rPr>
          <w:rFonts w:eastAsia="Times New Roman" w:cs="Calibri" w:ascii="Calibri" w:hAnsi="Calibri" w:cstheme="minorHAnsi"/>
          <w:b/>
          <w:bCs/>
          <w:iCs/>
          <w:color w:val="000000" w:themeColor="text1"/>
          <w:kern w:val="0"/>
          <w:sz w:val="24"/>
          <w:szCs w:val="24"/>
          <w:lang w:val="pl-PL" w:eastAsia="pl-PL" w:bidi="pl-PL"/>
        </w:rPr>
        <w:t>1.Zapoznane z kartą przedmiotu i warunkami zaliczenia Uwarunkowania sytuacji konfliktowych, rodzaje konfliktów. </w:t>
      </w:r>
    </w:p>
    <w:p>
      <w:pPr>
        <w:pStyle w:val="Tretekstu"/>
        <w:widowControl w:val="false"/>
        <w:suppressAutoHyphens w:val="true"/>
        <w:bidi w:val="0"/>
        <w:spacing w:before="0" w:after="283"/>
        <w:ind w:left="1020" w:right="0" w:hanging="0"/>
        <w:jc w:val="left"/>
        <w:rPr>
          <w:rFonts w:ascii="Calibri" w:hAnsi="Calibri" w:eastAsia="Times New Roman" w:cs="Calibri" w:asciiTheme="minorHAnsi" w:cstheme="minorHAnsi" w:hAnsiTheme="minorHAnsi"/>
          <w:b/>
          <w:bCs/>
          <w:iCs/>
          <w:color w:val="000000" w:themeColor="text1"/>
          <w:kern w:val="0"/>
          <w:sz w:val="24"/>
          <w:szCs w:val="24"/>
          <w:lang w:val="pl-PL" w:eastAsia="pl-PL" w:bidi="pl-PL"/>
        </w:rPr>
      </w:pPr>
      <w:r>
        <w:rPr>
          <w:rFonts w:eastAsia="Times New Roman" w:cs="Calibri" w:ascii="Calibri" w:hAnsi="Calibri" w:cstheme="minorHAnsi"/>
          <w:b/>
          <w:bCs/>
          <w:iCs/>
          <w:color w:val="000000" w:themeColor="text1"/>
          <w:kern w:val="0"/>
          <w:sz w:val="24"/>
          <w:szCs w:val="24"/>
          <w:lang w:val="pl-PL" w:eastAsia="pl-PL" w:bidi="pl-PL"/>
        </w:rPr>
        <w:t>2. Mediacja a negocjacja-rozróżnienia definicyjne </w:t>
      </w:r>
    </w:p>
    <w:p>
      <w:pPr>
        <w:pStyle w:val="Tretekstu"/>
        <w:widowControl w:val="false"/>
        <w:suppressAutoHyphens w:val="true"/>
        <w:bidi w:val="0"/>
        <w:spacing w:before="0" w:after="283"/>
        <w:ind w:left="1020" w:right="0" w:hanging="0"/>
        <w:jc w:val="left"/>
        <w:rPr>
          <w:rFonts w:ascii="Calibri" w:hAnsi="Calibri" w:eastAsia="Times New Roman" w:cs="Calibri" w:cstheme="minorHAnsi"/>
          <w:b/>
          <w:bCs/>
          <w:iCs/>
          <w:color w:val="000000" w:themeColor="text1"/>
          <w:kern w:val="0"/>
          <w:sz w:val="24"/>
          <w:szCs w:val="24"/>
          <w:lang w:val="pl-PL" w:eastAsia="pl-PL" w:bidi="pl-PL"/>
        </w:rPr>
      </w:pPr>
      <w:r>
        <w:rPr>
          <w:rFonts w:eastAsia="Times New Roman" w:cs="Calibri" w:ascii="Calibri" w:hAnsi="Calibri" w:cstheme="minorHAnsi"/>
          <w:b/>
          <w:bCs/>
          <w:iCs/>
          <w:color w:val="000000" w:themeColor="text1"/>
          <w:kern w:val="0"/>
          <w:sz w:val="24"/>
          <w:szCs w:val="24"/>
          <w:lang w:val="pl-PL" w:eastAsia="pl-PL" w:bidi="pl-PL"/>
        </w:rPr>
        <w:t>3. Konflikt i jego znaczenie w komunikacji interpersonalnej.</w:t>
      </w:r>
    </w:p>
    <w:p>
      <w:pPr>
        <w:pStyle w:val="Tretekstu"/>
        <w:widowControl w:val="false"/>
        <w:suppressAutoHyphens w:val="true"/>
        <w:bidi w:val="0"/>
        <w:spacing w:before="0" w:after="283"/>
        <w:ind w:left="1020" w:right="0" w:hanging="0"/>
        <w:jc w:val="left"/>
        <w:rPr>
          <w:rFonts w:ascii="Calibri" w:hAnsi="Calibri" w:eastAsia="Times New Roman" w:cs="Calibri" w:cstheme="minorHAnsi"/>
          <w:b/>
          <w:bCs/>
          <w:iCs/>
          <w:color w:val="000000" w:themeColor="text1"/>
          <w:kern w:val="0"/>
          <w:sz w:val="24"/>
          <w:szCs w:val="24"/>
          <w:lang w:val="pl-PL" w:eastAsia="pl-PL" w:bidi="pl-PL"/>
        </w:rPr>
      </w:pPr>
      <w:r>
        <w:rPr>
          <w:rFonts w:eastAsia="Times New Roman" w:cs="Calibri" w:ascii="Calibri" w:hAnsi="Calibri" w:cstheme="minorHAnsi"/>
          <w:b/>
          <w:bCs/>
          <w:iCs/>
          <w:color w:val="000000" w:themeColor="text1"/>
          <w:kern w:val="0"/>
          <w:sz w:val="24"/>
          <w:szCs w:val="24"/>
          <w:lang w:val="pl-PL" w:eastAsia="pl-PL" w:bidi="pl-PL"/>
        </w:rPr>
        <w:t>4. Strategie i techniki negocjacyjne.</w:t>
      </w:r>
    </w:p>
    <w:p>
      <w:pPr>
        <w:pStyle w:val="Tretekstu"/>
        <w:widowControl w:val="false"/>
        <w:suppressAutoHyphens w:val="true"/>
        <w:bidi w:val="0"/>
        <w:spacing w:before="0" w:after="283"/>
        <w:ind w:left="1020" w:right="0" w:hanging="0"/>
        <w:jc w:val="left"/>
        <w:rPr>
          <w:rFonts w:ascii="Calibri" w:hAnsi="Calibri" w:eastAsia="Times New Roman" w:cs="Calibri" w:cstheme="minorHAnsi"/>
          <w:b/>
          <w:bCs/>
          <w:iCs/>
          <w:color w:val="000000" w:themeColor="text1"/>
          <w:kern w:val="0"/>
          <w:sz w:val="24"/>
          <w:szCs w:val="24"/>
          <w:lang w:val="pl-PL" w:eastAsia="pl-PL" w:bidi="pl-PL"/>
        </w:rPr>
      </w:pPr>
      <w:r>
        <w:rPr>
          <w:rFonts w:eastAsia="Times New Roman" w:cs="Calibri" w:ascii="Calibri" w:hAnsi="Calibri" w:cstheme="minorHAnsi"/>
          <w:b/>
          <w:bCs/>
          <w:iCs/>
          <w:color w:val="000000" w:themeColor="text1"/>
          <w:kern w:val="0"/>
          <w:sz w:val="24"/>
          <w:szCs w:val="24"/>
          <w:lang w:val="pl-PL" w:eastAsia="pl-PL" w:bidi="pl-PL"/>
        </w:rPr>
        <w:t>5. Rodzaje negocjacji. Warunki prowadzenia skutecznych negocjacji.</w:t>
      </w:r>
    </w:p>
    <w:p>
      <w:pPr>
        <w:pStyle w:val="Tretekstu"/>
        <w:widowControl w:val="false"/>
        <w:suppressAutoHyphens w:val="true"/>
        <w:bidi w:val="0"/>
        <w:spacing w:before="0" w:after="283"/>
        <w:ind w:left="1020" w:right="0" w:hanging="0"/>
        <w:jc w:val="left"/>
        <w:rPr>
          <w:rFonts w:ascii="Calibri" w:hAnsi="Calibri" w:eastAsia="Times New Roman" w:cs="Calibri" w:cstheme="minorHAnsi"/>
          <w:b/>
          <w:bCs/>
          <w:iCs/>
          <w:color w:val="000000" w:themeColor="text1"/>
          <w:kern w:val="0"/>
          <w:sz w:val="24"/>
          <w:szCs w:val="24"/>
          <w:lang w:val="pl-PL" w:eastAsia="pl-PL" w:bidi="pl-PL"/>
        </w:rPr>
      </w:pPr>
      <w:r>
        <w:rPr>
          <w:rFonts w:eastAsia="Times New Roman" w:cs="Calibri" w:ascii="Calibri" w:hAnsi="Calibri" w:cstheme="minorHAnsi"/>
          <w:b/>
          <w:bCs/>
          <w:iCs/>
          <w:color w:val="000000" w:themeColor="text1"/>
          <w:kern w:val="0"/>
          <w:sz w:val="24"/>
          <w:szCs w:val="24"/>
          <w:lang w:val="pl-PL" w:eastAsia="pl-PL" w:bidi="pl-PL"/>
        </w:rPr>
        <w:t>6. Zasady, etapy i formy pracy w mediacji i negocjacji.</w:t>
      </w:r>
    </w:p>
    <w:p>
      <w:pPr>
        <w:pStyle w:val="Tretekstu"/>
        <w:widowControl w:val="false"/>
        <w:suppressAutoHyphens w:val="true"/>
        <w:bidi w:val="0"/>
        <w:spacing w:before="0" w:after="283"/>
        <w:ind w:left="1020" w:right="0" w:hanging="0"/>
        <w:jc w:val="left"/>
        <w:rPr>
          <w:rFonts w:ascii="Calibri" w:hAnsi="Calibri" w:eastAsia="Times New Roman" w:cs="Calibri" w:cstheme="minorHAnsi"/>
          <w:b/>
          <w:bCs/>
          <w:iCs/>
          <w:color w:val="000000" w:themeColor="text1"/>
          <w:kern w:val="0"/>
          <w:sz w:val="24"/>
          <w:szCs w:val="24"/>
          <w:lang w:val="pl-PL" w:eastAsia="pl-PL" w:bidi="pl-PL"/>
        </w:rPr>
      </w:pPr>
      <w:r>
        <w:rPr>
          <w:rFonts w:eastAsia="Times New Roman" w:cs="Calibri" w:ascii="Calibri" w:hAnsi="Calibri" w:cstheme="minorHAnsi"/>
          <w:b/>
          <w:bCs/>
          <w:iCs/>
          <w:color w:val="000000" w:themeColor="text1"/>
          <w:kern w:val="0"/>
          <w:sz w:val="24"/>
          <w:szCs w:val="24"/>
          <w:lang w:val="pl-PL" w:eastAsia="pl-PL" w:bidi="pl-PL"/>
        </w:rPr>
        <w:t>7. Warsztat pracy mediatora. Konstruowanie dokumentacji mediacyjnej. Analiza przypadku.</w:t>
      </w:r>
    </w:p>
    <w:p>
      <w:pPr>
        <w:pStyle w:val="Tretekstu"/>
        <w:widowControl w:val="false"/>
        <w:suppressAutoHyphens w:val="true"/>
        <w:bidi w:val="0"/>
        <w:spacing w:before="0" w:after="283"/>
        <w:ind w:left="1020" w:right="0" w:hanging="0"/>
        <w:jc w:val="left"/>
        <w:rPr>
          <w:rFonts w:ascii="Calibri" w:hAnsi="Calibri" w:eastAsia="Times New Roman" w:cs="Calibri" w:cstheme="minorHAnsi"/>
          <w:b/>
          <w:bCs/>
          <w:iCs/>
          <w:color w:val="000000" w:themeColor="text1"/>
          <w:kern w:val="0"/>
          <w:sz w:val="24"/>
          <w:szCs w:val="24"/>
          <w:lang w:val="pl-PL" w:eastAsia="pl-PL" w:bidi="pl-PL"/>
        </w:rPr>
      </w:pPr>
      <w:r>
        <w:rPr>
          <w:rFonts w:eastAsia="Times New Roman" w:cs="Calibri" w:ascii="Calibri" w:hAnsi="Calibri" w:cstheme="minorHAnsi"/>
          <w:b/>
          <w:bCs/>
          <w:iCs/>
          <w:color w:val="000000" w:themeColor="text1"/>
          <w:kern w:val="0"/>
          <w:sz w:val="24"/>
          <w:szCs w:val="24"/>
          <w:lang w:val="pl-PL" w:eastAsia="pl-PL" w:bidi="pl-PL"/>
        </w:rPr>
        <w:t>8. Uwrażliwienie słuchaczy na korzyści, jakie niesie ze sobą prawidłowo przeprowadzona mediacja i warunków w jakich może i nie powinna być prowadzona.</w:t>
      </w:r>
    </w:p>
    <w:p>
      <w:pPr>
        <w:pStyle w:val="Tretekstu"/>
        <w:numPr>
          <w:ilvl w:val="0"/>
          <w:numId w:val="0"/>
        </w:numPr>
        <w:spacing w:lineRule="auto" w:line="276"/>
        <w:ind w:left="709" w:hanging="0"/>
        <w:rPr>
          <w:rFonts w:ascii="Calibri" w:hAnsi="Calibri" w:eastAsia="Times New Roman" w:cs="Calibri" w:cstheme="minorHAnsi"/>
          <w:b/>
          <w:bCs/>
          <w:iCs/>
          <w:color w:val="000000" w:themeColor="text1"/>
          <w:kern w:val="0"/>
          <w:sz w:val="24"/>
          <w:szCs w:val="24"/>
          <w:lang w:val="pl-PL" w:eastAsia="pl-PL" w:bidi="pl-PL"/>
        </w:rPr>
      </w:pPr>
      <w:r>
        <w:rPr>
          <w:rFonts w:eastAsia="Times New Roman" w:cs="Calibri" w:cstheme="minorHAnsi" w:ascii="Calibri" w:hAnsi="Calibri"/>
          <w:b/>
          <w:bCs/>
          <w:iCs/>
          <w:color w:val="000000" w:themeColor="text1"/>
          <w:kern w:val="0"/>
          <w:sz w:val="24"/>
          <w:szCs w:val="24"/>
          <w:lang w:val="pl-PL" w:eastAsia="pl-PL" w:bidi="pl-PL"/>
        </w:rPr>
      </w:r>
    </w:p>
    <w:p>
      <w:pPr>
        <w:pStyle w:val="TableParagraph"/>
        <w:numPr>
          <w:ilvl w:val="0"/>
          <w:numId w:val="0"/>
        </w:numPr>
        <w:spacing w:lineRule="auto" w:line="276"/>
        <w:ind w:left="709" w:hanging="0"/>
        <w:rPr/>
      </w:pPr>
      <w:r>
        <w:rPr/>
      </w:r>
      <w:r>
        <w:br w:type="page"/>
      </w:r>
    </w:p>
    <w:p>
      <w:pPr>
        <w:pStyle w:val="TableParagraph"/>
        <w:numPr>
          <w:ilvl w:val="0"/>
          <w:numId w:val="3"/>
        </w:numPr>
        <w:spacing w:lineRule="auto" w:line="276"/>
        <w:ind w:left="709" w:hanging="0"/>
        <w:rPr/>
      </w:pPr>
      <w:r>
        <w:rPr/>
      </w:r>
    </w:p>
    <w:p>
      <w:pPr>
        <w:pStyle w:val="TableParagraph"/>
        <w:numPr>
          <w:ilvl w:val="1"/>
          <w:numId w:val="2"/>
        </w:numPr>
        <w:snapToGrid w:val="false"/>
        <w:spacing w:lineRule="auto" w:line="276" w:before="120" w:after="120"/>
        <w:ind w:left="1134" w:hanging="567"/>
        <w:rPr>
          <w:rFonts w:ascii="Calibri" w:hAnsi="Calibri" w:cs="Calibri" w:asciiTheme="minorHAnsi" w:cstheme="minorHAnsi" w:hAnsiTheme="minorHAnsi"/>
          <w:b/>
          <w:bCs/>
          <w:color w:val="000000" w:themeColor="text1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9848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243"/>
        <w:gridCol w:w="6832"/>
        <w:gridCol w:w="1773"/>
      </w:tblGrid>
      <w:tr>
        <w:trPr>
          <w:trHeight w:val="980" w:hRule="atLeast"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F1F8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 xml:space="preserve">Efekty </w:t>
            </w: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w w:val="95"/>
                <w:kern w:val="0"/>
                <w:sz w:val="21"/>
                <w:szCs w:val="21"/>
              </w:rPr>
              <w:t xml:space="preserve">przedmiotowe </w:t>
            </w: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(symbol)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 xml:space="preserve">Student, który zaliczył </w:t>
            </w:r>
            <w:r>
              <w:rPr>
                <w:rFonts w:cs="Calibri" w:ascii="Calibri" w:hAnsi="Calibri" w:asciiTheme="minorHAnsi" w:cstheme="minorHAnsi" w:hAnsiTheme="minorHAnsi"/>
                <w:b/>
                <w:color w:val="000000" w:themeColor="text1"/>
                <w:kern w:val="0"/>
                <w:sz w:val="21"/>
                <w:szCs w:val="21"/>
              </w:rPr>
              <w:t>przedmiot (zajęcia)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Odniesienie do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kierunkowych efektów uczenia się</w:t>
            </w:r>
          </w:p>
        </w:tc>
      </w:tr>
    </w:tbl>
    <w:p>
      <w:pPr>
        <w:pStyle w:val="Tretekstu"/>
        <w:snapToGrid w:val="false"/>
        <w:spacing w:lineRule="auto" w:line="276" w:before="120" w:after="120"/>
        <w:jc w:val="center"/>
        <w:rPr>
          <w:rFonts w:ascii="Calibri" w:hAnsi="Calibri" w:cs="Calibri" w:asciiTheme="minorHAnsi" w:cstheme="minorHAnsi" w:hAnsiTheme="minorHAnsi"/>
          <w:iCs/>
          <w:color w:val="000000" w:themeColor="text1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iCs/>
          <w:color w:val="000000" w:themeColor="text1"/>
          <w:sz w:val="24"/>
          <w:szCs w:val="24"/>
        </w:rPr>
        <w:t xml:space="preserve">w zakresie </w:t>
      </w:r>
      <w:r>
        <w:rPr>
          <w:rFonts w:cs="Calibri" w:ascii="Calibri" w:hAnsi="Calibri" w:asciiTheme="minorHAnsi" w:cstheme="minorHAnsi" w:hAnsiTheme="minorHAnsi"/>
          <w:iCs/>
          <w:color w:val="000000" w:themeColor="text1"/>
          <w:sz w:val="24"/>
          <w:szCs w:val="24"/>
          <w:shd w:fill="ECF1F8" w:val="clear"/>
        </w:rPr>
        <w:t>wiedzy</w:t>
      </w:r>
      <w:r>
        <w:rPr>
          <w:rFonts w:cs="Calibri" w:ascii="Calibri" w:hAnsi="Calibri" w:asciiTheme="minorHAnsi" w:cstheme="minorHAnsi" w:hAnsi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9856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247"/>
        <w:gridCol w:w="6830"/>
        <w:gridCol w:w="1779"/>
      </w:tblGrid>
      <w:tr>
        <w:trPr>
          <w:trHeight w:val="282" w:hRule="atLeast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F1F8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6" w:right="98" w:hanging="0"/>
              <w:jc w:val="center"/>
              <w:rPr>
                <w:rFonts w:ascii="Calibri" w:hAnsi="Calibri" w:cs="Calibri" w:asciiTheme="minorHAnsi" w:cstheme="minorHAnsi" w:hAnsi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</w:rPr>
              <w:t>W01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both"/>
              <w:rPr/>
            </w:pPr>
            <w:r>
              <w:rPr>
                <w:rStyle w:val="Normaltextrun"/>
                <w:rFonts w:eastAsia="Times New Roman" w:cs="Times New Roman" w:ascii="Calibri" w:hAnsi="Calibri"/>
                <w:b w:val="false"/>
                <w:bCs w:val="false"/>
                <w:iCs/>
                <w:color w:val="000000" w:themeColor="text1"/>
                <w:kern w:val="0"/>
                <w:sz w:val="20"/>
                <w:szCs w:val="20"/>
                <w:lang w:val="pl-PL" w:eastAsia="pl-PL" w:bidi="pl-PL"/>
              </w:rPr>
              <w:t>zna teorie oraz ogólną metodologię badań i pracy w zakresie pracy socjalnej i powiązanych z nią dyscyplin, zorientowaną na zastosowanie praktyczne; odnosi  ją do postępowania mediacyjnego i negocjacyjnego zna teorie projektowania i prowadzenia badań w zakresie pracy socjalnej w szerokim kontekście działań pomocowych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 w:cstheme="minorHAnsi"/>
                <w:b w:val="false"/>
                <w:bCs w:val="false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  <w:t>PS1P_W01</w:t>
            </w:r>
          </w:p>
        </w:tc>
      </w:tr>
      <w:tr>
        <w:trPr>
          <w:trHeight w:val="285" w:hRule="atLeast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F1F8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6" w:right="98" w:hanging="0"/>
              <w:jc w:val="center"/>
              <w:rPr>
                <w:rFonts w:ascii="Calibri" w:hAnsi="Calibri" w:cs="Calibri" w:asciiTheme="minorHAnsi" w:cstheme="minorHAnsi" w:hAnsi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</w:rPr>
              <w:t>W02</w:t>
            </w:r>
          </w:p>
        </w:tc>
        <w:tc>
          <w:tcPr>
            <w:tcW w:w="68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</w:rPr>
            </w:pPr>
            <w:r>
              <w:rPr>
                <w:rFonts w:cs="Times New Roman" w:ascii="Calibri" w:hAnsi="Calibri"/>
                <w:color w:val="000000"/>
                <w:sz w:val="20"/>
                <w:szCs w:val="20"/>
              </w:rPr>
              <w:t>zna charakter, miejsce i znaczenie struktur i funkcji systemu pomocy społecznej oraz znaczenie procedur mediacji i negocjacji jako wpisujących się w plan działania pomocowego, zna podstawy teoretyczne negocjacji i mediacji obejmujące terminologię, teorię i metodykę pracy socjalnej oraz zasady projektowania procesu</w:t>
            </w: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 w:cstheme="minorHAnsi"/>
                <w:b w:val="false"/>
                <w:bCs w:val="false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  <w:t>PS1P_W05</w:t>
            </w:r>
          </w:p>
        </w:tc>
      </w:tr>
    </w:tbl>
    <w:p>
      <w:pPr>
        <w:pStyle w:val="Tretekstu"/>
        <w:snapToGrid w:val="false"/>
        <w:spacing w:lineRule="auto" w:line="276" w:before="120" w:after="120"/>
        <w:jc w:val="center"/>
        <w:rPr>
          <w:rFonts w:ascii="Calibri" w:hAnsi="Calibri" w:cs="Calibri" w:asciiTheme="minorHAnsi" w:cstheme="minorHAnsi" w:hAnsiTheme="minorHAnsi"/>
          <w:iCs/>
          <w:color w:val="000000" w:themeColor="text1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iCs/>
          <w:color w:val="000000" w:themeColor="text1"/>
          <w:sz w:val="24"/>
          <w:szCs w:val="24"/>
        </w:rPr>
        <w:t xml:space="preserve">w zakresie </w:t>
      </w:r>
      <w:r>
        <w:rPr>
          <w:rFonts w:cs="Calibri" w:ascii="Calibri" w:hAnsi="Calibri" w:asciiTheme="minorHAnsi" w:cstheme="minorHAnsi" w:hAnsiTheme="minorHAnsi"/>
          <w:iCs/>
          <w:color w:val="000000" w:themeColor="text1"/>
          <w:sz w:val="24"/>
          <w:szCs w:val="24"/>
          <w:shd w:fill="ECF1F8" w:val="clear"/>
        </w:rPr>
        <w:t>umiejętności</w:t>
      </w:r>
      <w:r>
        <w:rPr>
          <w:rFonts w:cs="Calibri" w:ascii="Calibri" w:hAnsi="Calibri" w:asciiTheme="minorHAnsi" w:cstheme="minorHAnsi" w:hAnsi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9838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238"/>
        <w:gridCol w:w="6827"/>
        <w:gridCol w:w="1773"/>
      </w:tblGrid>
      <w:tr>
        <w:trPr>
          <w:trHeight w:val="285" w:hRule="atLeast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F1F8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6" w:right="98" w:hanging="0"/>
              <w:jc w:val="center"/>
              <w:rPr>
                <w:rFonts w:ascii="Calibri" w:hAnsi="Calibri" w:cs="Calibri" w:asciiTheme="minorHAnsi" w:cstheme="minorHAnsi" w:hAnsi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</w:rPr>
              <w:t>U01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Normaltextrun"/>
                <w:rFonts w:eastAsia="Times New Roman" w:cs="Calibri" w:ascii="Calibri" w:hAnsi="Calibri" w:cstheme="minorHAnsi"/>
                <w:b w:val="false"/>
                <w:bCs w:val="false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  <w:t xml:space="preserve"> </w:t>
            </w:r>
            <w:r>
              <w:rPr>
                <w:rStyle w:val="Normaltextrun"/>
                <w:rFonts w:eastAsia="Times New Roman" w:cs="Times New Roman" w:ascii="Calibri" w:hAnsi="Calibri"/>
                <w:b w:val="false"/>
                <w:bCs w:val="false"/>
                <w:iCs/>
                <w:color w:val="000000" w:themeColor="text1"/>
                <w:kern w:val="0"/>
                <w:sz w:val="20"/>
                <w:szCs w:val="20"/>
                <w:lang w:val="pl-PL" w:eastAsia="pl-PL" w:bidi="pl-PL"/>
              </w:rPr>
              <w:t>potrafi wykorzystywać podstawową wiedzę teoretyczną z zakresu pracy socjalnej oraz dyscyplin w celu opisu, analizy i interpretacji sytuacji rodzinnych, wychowawczych, opiekuńczych, znajdować ich kontekst w planowaniu działań i pomocowych, a także posługuje się wiedzą w zakresie motywów i wzorów ludzkich zachowań determinujących trudności w procedurach negocjacyjnych i mediacyjnych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PS1P_U02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</w:pPr>
            <w:r>
              <w:rPr>
                <w:rFonts w:eastAsia="Times New Roman" w:cs="Calibri" w:cstheme="minorHAnsi" w:ascii="Calibri" w:hAnsi="Calibri"/>
                <w:b w:val="false"/>
                <w:bCs w:val="false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</w:r>
          </w:p>
        </w:tc>
      </w:tr>
      <w:tr>
        <w:trPr>
          <w:trHeight w:val="285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F1F8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6" w:right="98" w:hanging="0"/>
              <w:jc w:val="center"/>
              <w:rPr>
                <w:rFonts w:ascii="Calibri" w:hAnsi="Calibri" w:cs="Calibri" w:asciiTheme="minorHAnsi" w:cstheme="minorHAnsi" w:hAnsi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6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eastAsia="Times New Roman" w:cs="Times New Roman" w:ascii="Calibri" w:hAnsi="Calibri"/>
                <w:b w:val="false"/>
                <w:bCs w:val="false"/>
                <w:iCs/>
                <w:color w:val="000000" w:themeColor="text1"/>
                <w:kern w:val="0"/>
                <w:sz w:val="20"/>
                <w:szCs w:val="20"/>
                <w:lang w:val="pl-PL" w:eastAsia="pl-PL" w:bidi="pl-PL"/>
              </w:rPr>
              <w:t>potrafi planować i organizować pracę mediacyjną, podjąć działania diagnostyczne w zakresie określania potrzeb stron  mediacji i negocjacji, strukturyzować proces w celu osiągniecia większej efektywności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 w:cstheme="minorHAnsi"/>
                <w:b w:val="false"/>
                <w:bCs w:val="false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  <w:t>PS1P_U13</w:t>
            </w:r>
          </w:p>
        </w:tc>
      </w:tr>
    </w:tbl>
    <w:p>
      <w:pPr>
        <w:pStyle w:val="Tretekstu"/>
        <w:snapToGrid w:val="false"/>
        <w:spacing w:lineRule="auto" w:line="276" w:before="120" w:after="120"/>
        <w:jc w:val="center"/>
        <w:rPr>
          <w:rFonts w:ascii="Calibri" w:hAnsi="Calibri" w:cs="Calibri" w:asciiTheme="minorHAnsi" w:cstheme="minorHAnsi" w:hAnsiTheme="minorHAnsi"/>
          <w:iCs/>
          <w:color w:val="000000" w:themeColor="text1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iCs/>
          <w:color w:val="000000" w:themeColor="text1"/>
          <w:sz w:val="24"/>
          <w:szCs w:val="24"/>
        </w:rPr>
        <w:t xml:space="preserve">w zakresie </w:t>
      </w:r>
      <w:r>
        <w:rPr>
          <w:rFonts w:cs="Calibri" w:ascii="Calibri" w:hAnsi="Calibri" w:asciiTheme="minorHAnsi" w:cstheme="minorHAnsi" w:hAnsiTheme="minorHAnsi"/>
          <w:iCs/>
          <w:color w:val="000000" w:themeColor="text1"/>
          <w:sz w:val="24"/>
          <w:szCs w:val="24"/>
          <w:shd w:fill="ECF1F8" w:val="clear"/>
        </w:rPr>
        <w:t>kompetencji społecznych</w:t>
      </w:r>
      <w:r>
        <w:rPr>
          <w:rFonts w:cs="Calibri" w:ascii="Calibri" w:hAnsi="Calibri" w:asciiTheme="minorHAnsi" w:cstheme="minorHAnsi" w:hAnsi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9856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247"/>
        <w:gridCol w:w="6830"/>
        <w:gridCol w:w="1779"/>
      </w:tblGrid>
      <w:tr>
        <w:trPr>
          <w:trHeight w:val="282" w:hRule="atLeast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F1F8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6" w:right="98" w:hanging="0"/>
              <w:jc w:val="center"/>
              <w:rPr>
                <w:rFonts w:ascii="Calibri" w:hAnsi="Calibri" w:cs="Calibri" w:asciiTheme="minorHAnsi" w:cstheme="minorHAnsi" w:hAnsi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</w:rPr>
              <w:t>K01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both"/>
              <w:rPr/>
            </w:pPr>
            <w:r>
              <w:rPr>
                <w:rStyle w:val="Normaltextrun"/>
                <w:rFonts w:eastAsia="Times New Roman" w:cs="Calibri" w:ascii="Calibri" w:hAnsi="Calibri" w:cstheme="minorHAnsi"/>
                <w:b w:val="false"/>
                <w:bCs w:val="false"/>
                <w:iCs/>
                <w:color w:val="000000" w:themeColor="text1"/>
                <w:kern w:val="0"/>
                <w:sz w:val="20"/>
                <w:szCs w:val="20"/>
                <w:lang w:val="pl-PL" w:eastAsia="pl-PL" w:bidi="pl-PL"/>
              </w:rPr>
              <w:t xml:space="preserve"> </w:t>
            </w:r>
            <w:r>
              <w:rPr>
                <w:rStyle w:val="Normaltextrun"/>
                <w:rFonts w:eastAsia="Times New Roman" w:cs="Times New Roman" w:ascii="Calibri" w:hAnsi="Calibri"/>
                <w:b w:val="false"/>
                <w:bCs w:val="false"/>
                <w:iCs/>
                <w:color w:val="000000" w:themeColor="text1"/>
                <w:kern w:val="0"/>
                <w:sz w:val="20"/>
                <w:szCs w:val="20"/>
                <w:lang w:val="pl-PL" w:eastAsia="pl-PL" w:bidi="pl-PL"/>
              </w:rPr>
              <w:t>jest gotów do uznawania znaczenia konieczności podtrzymywania i dbania o więzi w środowiskach społecznych i odnoszenia zdobytej wiedzy do projektowania działań zawodowych w polu pracy socjalnej oraz konsolidowania wiedzy z zakresu innych dziedzin odnoszącej się do poprawy skuteczności działań mediacyjnych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textAlignment w:val="baseline"/>
              <w:rPr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</w:pPr>
            <w:r>
              <w:rPr>
                <w:rFonts w:eastAsia="Times New Roman" w:cs="Calibri" w:ascii="Calibri" w:hAnsi="Calibri" w:cstheme="minorHAnsi"/>
                <w:b w:val="false"/>
                <w:bCs w:val="false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iCs/>
                <w:color w:val="000000" w:themeColor="text1"/>
                <w:kern w:val="0"/>
                <w:sz w:val="20"/>
                <w:szCs w:val="20"/>
                <w:lang w:val="pl-PL" w:eastAsia="pl-PL" w:bidi="pl-PL"/>
              </w:rPr>
              <w:t>PS1P_K02</w:t>
            </w:r>
          </w:p>
        </w:tc>
      </w:tr>
      <w:tr>
        <w:trPr>
          <w:trHeight w:val="282" w:hRule="atLeast"/>
        </w:trPr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CF1F8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6" w:right="98" w:hanging="0"/>
              <w:jc w:val="center"/>
              <w:rPr>
                <w:rFonts w:ascii="Calibri" w:hAnsi="Calibri" w:cs="Calibri" w:asciiTheme="minorHAnsi" w:cstheme="minorHAnsi" w:hAnsi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6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eastAsia="Times New Roman" w:cs="Times New Roman" w:ascii="Calibri" w:hAnsi="Calibri"/>
                <w:b w:val="false"/>
                <w:bCs w:val="false"/>
                <w:iCs/>
                <w:color w:val="000000" w:themeColor="text1"/>
                <w:kern w:val="0"/>
                <w:sz w:val="20"/>
                <w:szCs w:val="20"/>
                <w:lang w:val="pl-PL" w:eastAsia="pl-PL" w:bidi="pl-PL"/>
              </w:rPr>
              <w:t>Jest gotów do współdziałania na rzecz społeczności lokalnej, dostrzega konieczność współdziałania na rzecz środowiska</w:t>
            </w:r>
          </w:p>
        </w:tc>
        <w:tc>
          <w:tcPr>
            <w:tcW w:w="1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Calibri" w:hAnsi="Calibri" w:cstheme="minorHAnsi"/>
                <w:b w:val="false"/>
                <w:bCs w:val="false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  <w:t>PS1P_K04</w:t>
            </w:r>
          </w:p>
        </w:tc>
      </w:tr>
    </w:tbl>
    <w:p>
      <w:pPr>
        <w:pStyle w:val="TableParagraph"/>
        <w:numPr>
          <w:ilvl w:val="1"/>
          <w:numId w:val="2"/>
        </w:numPr>
        <w:snapToGrid w:val="false"/>
        <w:spacing w:lineRule="auto" w:line="276" w:before="120" w:after="120"/>
        <w:ind w:left="1134" w:right="-20" w:hanging="567"/>
        <w:rPr>
          <w:rFonts w:ascii="Calibri" w:hAnsi="Calibri" w:cs="Calibri" w:asciiTheme="minorHAnsi" w:cstheme="minorHAnsi" w:hAnsiTheme="minorHAnsi"/>
          <w:b/>
          <w:iCs/>
          <w:color w:val="000000" w:themeColor="text1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 (zajęć)</w:t>
      </w:r>
    </w:p>
    <w:p>
      <w:pPr>
        <w:pStyle w:val="TableParagraph"/>
        <w:snapToGrid w:val="false"/>
        <w:spacing w:lineRule="auto" w:line="276" w:before="120" w:after="120"/>
        <w:ind w:firstLine="1276"/>
        <w:jc w:val="center"/>
        <w:rPr>
          <w:rFonts w:ascii="Calibri" w:hAnsi="Calibri" w:cs="Calibri" w:asciiTheme="minorHAnsi" w:cstheme="minorHAnsi" w:hAnsiTheme="minorHAnsi"/>
          <w:b/>
          <w:iCs/>
          <w:color w:val="000000" w:themeColor="text1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984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40"/>
        <w:gridCol w:w="1233"/>
        <w:gridCol w:w="1233"/>
        <w:gridCol w:w="1228"/>
        <w:gridCol w:w="1227"/>
        <w:gridCol w:w="1228"/>
        <w:gridCol w:w="1228"/>
        <w:gridCol w:w="1222"/>
      </w:tblGrid>
      <w:tr>
        <w:trPr/>
        <w:tc>
          <w:tcPr>
            <w:tcW w:w="1240" w:type="dxa"/>
            <w:tcBorders/>
            <w:shd w:color="auto" w:fill="ECF1F8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-100" w:right="-111" w:hanging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 xml:space="preserve">Efekty </w:t>
            </w: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w w:val="95"/>
                <w:kern w:val="0"/>
                <w:sz w:val="21"/>
                <w:szCs w:val="21"/>
              </w:rPr>
              <w:t xml:space="preserve">przedmiotowe </w:t>
            </w: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(symbol)</w:t>
            </w:r>
          </w:p>
        </w:tc>
        <w:tc>
          <w:tcPr>
            <w:tcW w:w="1233" w:type="dxa"/>
            <w:tcBorders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-105" w:right="-155" w:hanging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Egzamin ustny/</w:t>
              <w:br/>
              <w:t>pisemny/</w:t>
              <w:br/>
              <w:t>praktyczny/</w:t>
              <w:br/>
              <w:t xml:space="preserve">inny </w:t>
            </w: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0"/>
                <w:szCs w:val="20"/>
              </w:rPr>
              <w:t>(jaki?)</w:t>
            </w: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*</w:t>
            </w:r>
          </w:p>
        </w:tc>
        <w:tc>
          <w:tcPr>
            <w:tcW w:w="1233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-105" w:right="-155" w:hanging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Kolokwium*</w:t>
            </w:r>
          </w:p>
        </w:tc>
        <w:tc>
          <w:tcPr>
            <w:tcW w:w="1228" w:type="dxa"/>
            <w:tcBorders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-105" w:right="-155" w:hanging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Projekt*</w:t>
            </w:r>
          </w:p>
        </w:tc>
        <w:tc>
          <w:tcPr>
            <w:tcW w:w="1227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-105" w:right="-155" w:hanging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Aktywność na zajęciach*</w:t>
            </w:r>
          </w:p>
        </w:tc>
        <w:tc>
          <w:tcPr>
            <w:tcW w:w="1228" w:type="dxa"/>
            <w:tcBorders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-105" w:right="-155" w:hanging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Praca własna*</w:t>
            </w:r>
          </w:p>
        </w:tc>
        <w:tc>
          <w:tcPr>
            <w:tcW w:w="1228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-105" w:right="-155" w:hanging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Praca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-105" w:right="-155" w:hanging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w grupie*</w:t>
            </w:r>
          </w:p>
        </w:tc>
        <w:tc>
          <w:tcPr>
            <w:tcW w:w="1222" w:type="dxa"/>
            <w:tcBorders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-105" w:right="-155" w:hanging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 xml:space="preserve">Inne </w:t>
            </w: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0"/>
                <w:szCs w:val="20"/>
              </w:rPr>
              <w:t>(jakie?)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-105" w:right="-155" w:hanging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0"/>
                <w:szCs w:val="20"/>
              </w:rPr>
              <w:t>Prezentacja</w:t>
            </w: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*</w:t>
            </w:r>
          </w:p>
        </w:tc>
      </w:tr>
    </w:tbl>
    <w:p>
      <w:pPr>
        <w:pStyle w:val="TableParagraph"/>
        <w:snapToGrid w:val="false"/>
        <w:spacing w:lineRule="auto" w:line="276" w:before="120" w:after="120"/>
        <w:ind w:firstLine="1276"/>
        <w:jc w:val="center"/>
        <w:rPr>
          <w:rFonts w:ascii="Calibri" w:hAnsi="Calibri" w:cs="Calibri" w:asciiTheme="minorHAnsi" w:cstheme="minorHAnsi" w:hAnsiTheme="minorHAnsi"/>
          <w:b/>
          <w:iCs/>
          <w:color w:val="000000" w:themeColor="text1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982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36"/>
        <w:gridCol w:w="408"/>
        <w:gridCol w:w="410"/>
        <w:gridCol w:w="408"/>
        <w:gridCol w:w="409"/>
        <w:gridCol w:w="415"/>
        <w:gridCol w:w="403"/>
        <w:gridCol w:w="414"/>
        <w:gridCol w:w="410"/>
        <w:gridCol w:w="408"/>
        <w:gridCol w:w="409"/>
        <w:gridCol w:w="414"/>
        <w:gridCol w:w="403"/>
        <w:gridCol w:w="409"/>
        <w:gridCol w:w="415"/>
        <w:gridCol w:w="403"/>
        <w:gridCol w:w="414"/>
        <w:gridCol w:w="410"/>
        <w:gridCol w:w="408"/>
        <w:gridCol w:w="409"/>
        <w:gridCol w:w="415"/>
        <w:gridCol w:w="391"/>
      </w:tblGrid>
      <w:tr>
        <w:trPr/>
        <w:tc>
          <w:tcPr>
            <w:tcW w:w="1236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right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right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iCs/>
                <w:color w:val="000000" w:themeColor="text1"/>
                <w:kern w:val="0"/>
                <w:sz w:val="21"/>
                <w:szCs w:val="21"/>
              </w:rPr>
              <w:t>1:</w:t>
            </w:r>
          </w:p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left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Cs/>
                <w:iCs/>
                <w:color w:val="000000" w:themeColor="text1"/>
                <w:kern w:val="0"/>
                <w:sz w:val="21"/>
                <w:szCs w:val="21"/>
              </w:rPr>
              <w:t>2:</w:t>
            </w:r>
          </w:p>
        </w:tc>
        <w:tc>
          <w:tcPr>
            <w:tcW w:w="40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w w:val="99"/>
                <w:kern w:val="0"/>
                <w:sz w:val="21"/>
                <w:szCs w:val="21"/>
              </w:rPr>
              <w:t>W</w:t>
            </w:r>
          </w:p>
        </w:tc>
        <w:tc>
          <w:tcPr>
            <w:tcW w:w="410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w w:val="99"/>
                <w:kern w:val="0"/>
                <w:sz w:val="21"/>
                <w:szCs w:val="21"/>
              </w:rPr>
              <w:t>C</w:t>
            </w:r>
          </w:p>
        </w:tc>
        <w:tc>
          <w:tcPr>
            <w:tcW w:w="40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</w:rPr>
              <w:t>...</w:t>
            </w:r>
          </w:p>
        </w:tc>
        <w:tc>
          <w:tcPr>
            <w:tcW w:w="409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w w:val="99"/>
                <w:kern w:val="0"/>
                <w:sz w:val="21"/>
                <w:szCs w:val="21"/>
              </w:rPr>
              <w:t>W</w:t>
            </w:r>
          </w:p>
        </w:tc>
        <w:tc>
          <w:tcPr>
            <w:tcW w:w="415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w w:val="99"/>
                <w:kern w:val="0"/>
                <w:sz w:val="21"/>
                <w:szCs w:val="21"/>
              </w:rPr>
              <w:t>C</w:t>
            </w:r>
          </w:p>
        </w:tc>
        <w:tc>
          <w:tcPr>
            <w:tcW w:w="403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</w:rPr>
              <w:t>...</w:t>
            </w:r>
          </w:p>
        </w:tc>
        <w:tc>
          <w:tcPr>
            <w:tcW w:w="41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w w:val="99"/>
                <w:kern w:val="0"/>
                <w:sz w:val="21"/>
                <w:szCs w:val="21"/>
              </w:rPr>
              <w:t>W</w:t>
            </w:r>
          </w:p>
        </w:tc>
        <w:tc>
          <w:tcPr>
            <w:tcW w:w="410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w w:val="99"/>
                <w:kern w:val="0"/>
                <w:sz w:val="21"/>
                <w:szCs w:val="21"/>
              </w:rPr>
              <w:t>C</w:t>
            </w:r>
          </w:p>
        </w:tc>
        <w:tc>
          <w:tcPr>
            <w:tcW w:w="40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</w:rPr>
              <w:t>...</w:t>
            </w:r>
          </w:p>
        </w:tc>
        <w:tc>
          <w:tcPr>
            <w:tcW w:w="409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w w:val="99"/>
                <w:kern w:val="0"/>
                <w:sz w:val="21"/>
                <w:szCs w:val="21"/>
              </w:rPr>
              <w:t>W</w:t>
            </w:r>
          </w:p>
        </w:tc>
        <w:tc>
          <w:tcPr>
            <w:tcW w:w="414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w w:val="99"/>
                <w:kern w:val="0"/>
                <w:sz w:val="21"/>
                <w:szCs w:val="21"/>
              </w:rPr>
              <w:t>C</w:t>
            </w:r>
          </w:p>
        </w:tc>
        <w:tc>
          <w:tcPr>
            <w:tcW w:w="403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</w:rPr>
              <w:t>...</w:t>
            </w:r>
          </w:p>
        </w:tc>
        <w:tc>
          <w:tcPr>
            <w:tcW w:w="409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w w:val="99"/>
                <w:kern w:val="0"/>
                <w:sz w:val="21"/>
                <w:szCs w:val="21"/>
              </w:rPr>
              <w:t>W</w:t>
            </w:r>
          </w:p>
        </w:tc>
        <w:tc>
          <w:tcPr>
            <w:tcW w:w="415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w w:val="99"/>
                <w:kern w:val="0"/>
                <w:sz w:val="21"/>
                <w:szCs w:val="21"/>
              </w:rPr>
              <w:t>C</w:t>
            </w:r>
          </w:p>
        </w:tc>
        <w:tc>
          <w:tcPr>
            <w:tcW w:w="40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</w:rPr>
              <w:t>...</w:t>
            </w:r>
          </w:p>
        </w:tc>
        <w:tc>
          <w:tcPr>
            <w:tcW w:w="414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w w:val="99"/>
                <w:kern w:val="0"/>
                <w:sz w:val="21"/>
                <w:szCs w:val="21"/>
              </w:rPr>
              <w:t>W</w:t>
            </w:r>
          </w:p>
        </w:tc>
        <w:tc>
          <w:tcPr>
            <w:tcW w:w="410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w w:val="99"/>
                <w:kern w:val="0"/>
                <w:sz w:val="21"/>
                <w:szCs w:val="21"/>
              </w:rPr>
              <w:t>C</w:t>
            </w:r>
          </w:p>
        </w:tc>
        <w:tc>
          <w:tcPr>
            <w:tcW w:w="408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</w:rPr>
              <w:t>...</w:t>
            </w:r>
          </w:p>
        </w:tc>
        <w:tc>
          <w:tcPr>
            <w:tcW w:w="409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w w:val="99"/>
                <w:kern w:val="0"/>
                <w:sz w:val="21"/>
                <w:szCs w:val="21"/>
              </w:rPr>
              <w:t>W</w:t>
            </w:r>
          </w:p>
        </w:tc>
        <w:tc>
          <w:tcPr>
            <w:tcW w:w="415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w w:val="99"/>
                <w:kern w:val="0"/>
                <w:sz w:val="21"/>
                <w:szCs w:val="21"/>
              </w:rPr>
              <w:t>C</w:t>
            </w:r>
          </w:p>
        </w:tc>
        <w:tc>
          <w:tcPr>
            <w:tcW w:w="391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</w:rPr>
              <w:t>...</w:t>
            </w:r>
          </w:p>
        </w:tc>
      </w:tr>
      <w:tr>
        <w:trPr/>
        <w:tc>
          <w:tcPr>
            <w:tcW w:w="1236" w:type="dxa"/>
            <w:tcBorders/>
            <w:shd w:color="auto" w:fill="ECF1F8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983" w:leader="none"/>
              </w:tabs>
              <w:suppressAutoHyphens w:val="true"/>
              <w:spacing w:lineRule="auto" w:line="276" w:before="0" w:after="0"/>
              <w:ind w:right="37" w:hanging="0"/>
              <w:jc w:val="center"/>
              <w:rPr>
                <w:rFonts w:ascii="Calibri" w:hAnsi="Calibri" w:cs="Calibri" w:asciiTheme="minorHAnsi" w:cstheme="minorHAnsi" w:hAnsiTheme="minorHAnsi"/>
                <w:b w:val="false"/>
                <w:bCs w:val="false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0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9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5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3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0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9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4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3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9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5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4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0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8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9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5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391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</w:tr>
      <w:tr>
        <w:trPr/>
        <w:tc>
          <w:tcPr>
            <w:tcW w:w="1236" w:type="dxa"/>
            <w:tcBorders>
              <w:top w:val="nil"/>
            </w:tcBorders>
            <w:shd w:color="auto" w:fill="ECF1F8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983" w:leader="none"/>
              </w:tabs>
              <w:suppressAutoHyphens w:val="true"/>
              <w:spacing w:lineRule="auto" w:line="276" w:before="0" w:after="0"/>
              <w:ind w:right="37" w:hanging="0"/>
              <w:jc w:val="center"/>
              <w:rPr>
                <w:rFonts w:ascii="Calibri" w:hAnsi="Calibri" w:cs="Calibri" w:asciiTheme="minorHAnsi" w:cstheme="minorHAnsi" w:hAnsiTheme="minorHAnsi"/>
                <w:b w:val="false"/>
                <w:bCs w:val="false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408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0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8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9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5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3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4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0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8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9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4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3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9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5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3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4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0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8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9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5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391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</w:tr>
      <w:tr>
        <w:trPr/>
        <w:tc>
          <w:tcPr>
            <w:tcW w:w="1236" w:type="dxa"/>
            <w:tcBorders>
              <w:top w:val="nil"/>
            </w:tcBorders>
            <w:shd w:color="auto" w:fill="ECF1F8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983" w:leader="none"/>
              </w:tabs>
              <w:suppressAutoHyphens w:val="true"/>
              <w:spacing w:lineRule="auto" w:line="276" w:before="0" w:after="0"/>
              <w:ind w:right="37" w:hanging="0"/>
              <w:jc w:val="center"/>
              <w:rPr>
                <w:rFonts w:ascii="Calibri" w:hAnsi="Calibri" w:cs="Calibri" w:asciiTheme="minorHAnsi" w:cstheme="minorHAnsi" w:hAnsiTheme="minorHAnsi"/>
                <w:b w:val="false"/>
                <w:bCs w:val="false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8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0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8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9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5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3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4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0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8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9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4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3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9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5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3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4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0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8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9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5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391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</w:tr>
      <w:tr>
        <w:trPr/>
        <w:tc>
          <w:tcPr>
            <w:tcW w:w="1236" w:type="dxa"/>
            <w:tcBorders>
              <w:top w:val="nil"/>
            </w:tcBorders>
            <w:shd w:color="auto" w:fill="ECF1F8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983" w:leader="none"/>
              </w:tabs>
              <w:suppressAutoHyphens w:val="true"/>
              <w:spacing w:lineRule="auto" w:line="276" w:before="0" w:after="0"/>
              <w:ind w:right="37" w:hanging="0"/>
              <w:jc w:val="center"/>
              <w:rPr>
                <w:rFonts w:ascii="Calibri" w:hAnsi="Calibri" w:cs="Calibri" w:asciiTheme="minorHAnsi" w:cstheme="minorHAnsi" w:hAnsiTheme="minorHAnsi"/>
                <w:b w:val="false"/>
                <w:bCs w:val="false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408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0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8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9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5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3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4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0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8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9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4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3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9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5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3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4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0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  <w:tcBorders>
              <w:top w:val="nil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9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5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391" w:type="dxa"/>
            <w:tcBorders>
              <w:top w:val="nil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</w:tr>
      <w:tr>
        <w:trPr/>
        <w:tc>
          <w:tcPr>
            <w:tcW w:w="1236" w:type="dxa"/>
            <w:tcBorders/>
            <w:shd w:color="auto" w:fill="ECF1F8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983" w:leader="none"/>
              </w:tabs>
              <w:suppressAutoHyphens w:val="true"/>
              <w:spacing w:lineRule="auto" w:line="276" w:before="0" w:after="0"/>
              <w:ind w:right="37" w:hanging="0"/>
              <w:jc w:val="center"/>
              <w:rPr>
                <w:rFonts w:ascii="Calibri" w:hAnsi="Calibri" w:cs="Calibri" w:asciiTheme="minorHAnsi" w:cstheme="minorHAnsi" w:hAnsiTheme="minorHAnsi"/>
                <w:b w:val="false"/>
                <w:bCs w:val="false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iCs/>
                <w:color w:val="000000" w:themeColor="text1"/>
                <w:kern w:val="0"/>
                <w:sz w:val="21"/>
                <w:szCs w:val="21"/>
              </w:rPr>
              <w:t>K01</w:t>
            </w:r>
          </w:p>
        </w:tc>
        <w:tc>
          <w:tcPr>
            <w:tcW w:w="40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0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9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5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3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0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9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4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3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9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5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4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0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bCs/>
                <w:iCs/>
                <w:color w:val="000000" w:themeColor="text1"/>
                <w:kern w:val="0"/>
                <w:sz w:val="21"/>
                <w:szCs w:val="21"/>
              </w:rPr>
              <w:t>X</w:t>
            </w:r>
          </w:p>
        </w:tc>
        <w:tc>
          <w:tcPr>
            <w:tcW w:w="408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9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5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391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</w:tr>
      <w:tr>
        <w:trPr/>
        <w:tc>
          <w:tcPr>
            <w:tcW w:w="1236" w:type="dxa"/>
            <w:tcBorders/>
            <w:shd w:color="auto" w:fill="ECF1F8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983" w:leader="none"/>
              </w:tabs>
              <w:suppressAutoHyphens w:val="true"/>
              <w:spacing w:lineRule="auto" w:line="276" w:before="0" w:after="0"/>
              <w:ind w:right="37" w:hanging="0"/>
              <w:jc w:val="center"/>
              <w:rPr>
                <w:rFonts w:ascii="Calibri" w:hAnsi="Calibri" w:cs="Calibri" w:asciiTheme="minorHAnsi" w:cstheme="minorHAnsi" w:hAnsiTheme="minorHAnsi"/>
                <w:b w:val="false"/>
                <w:bCs w:val="false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b w:val="false"/>
                <w:bCs w:val="false"/>
                <w:iCs/>
                <w:color w:val="000000" w:themeColor="text1"/>
                <w:kern w:val="0"/>
                <w:sz w:val="21"/>
                <w:szCs w:val="21"/>
              </w:rPr>
              <w:t>K02</w:t>
            </w:r>
          </w:p>
        </w:tc>
        <w:tc>
          <w:tcPr>
            <w:tcW w:w="40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0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9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5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3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0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8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9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4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bCs/>
                <w:iCs/>
                <w:color w:val="000000" w:themeColor="text1"/>
                <w:kern w:val="0"/>
                <w:sz w:val="21"/>
                <w:szCs w:val="21"/>
              </w:rPr>
              <w:t>X</w:t>
            </w:r>
          </w:p>
        </w:tc>
        <w:tc>
          <w:tcPr>
            <w:tcW w:w="403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9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5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3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4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0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bCs/>
                <w:iCs/>
                <w:color w:val="000000" w:themeColor="text1"/>
                <w:kern w:val="0"/>
                <w:sz w:val="21"/>
                <w:szCs w:val="21"/>
              </w:rPr>
              <w:t>X</w:t>
            </w:r>
          </w:p>
        </w:tc>
        <w:tc>
          <w:tcPr>
            <w:tcW w:w="408" w:type="dxa"/>
            <w:tcBorders/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09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  <w:tc>
          <w:tcPr>
            <w:tcW w:w="415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391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cstheme="minorHAnsi" w:ascii="Calibri" w:hAnsi="Calibri"/>
                <w:bCs/>
                <w:iCs/>
                <w:color w:val="000000" w:themeColor="text1"/>
                <w:sz w:val="21"/>
                <w:szCs w:val="21"/>
              </w:rPr>
            </w:r>
          </w:p>
        </w:tc>
      </w:tr>
    </w:tbl>
    <w:p>
      <w:pPr>
        <w:pStyle w:val="Tretekstu"/>
        <w:spacing w:lineRule="auto" w:line="276" w:before="120" w:after="120"/>
        <w:rPr>
          <w:rFonts w:ascii="Calibri" w:hAnsi="Calibri" w:cs="Calibri" w:asciiTheme="minorHAnsi" w:cstheme="minorHAnsi" w:hAnsiTheme="minorHAnsi"/>
          <w:b w:val="false"/>
          <w:bCs w:val="false"/>
          <w:iCs/>
          <w:color w:val="000000" w:themeColor="text1"/>
        </w:rPr>
      </w:pPr>
      <w:r>
        <w:rPr>
          <w:rFonts w:cs="Calibri" w:ascii="Calibri" w:hAnsi="Calibri" w:asciiTheme="minorHAnsi" w:cstheme="minorHAnsi" w:hAnsiTheme="minorHAnsi"/>
          <w:iCs/>
          <w:color w:val="000000" w:themeColor="text1"/>
        </w:rPr>
        <w:t>Adnotacja. 1: forma zajęć; 2: efekty uczenia się</w:t>
      </w:r>
    </w:p>
    <w:p>
      <w:pPr>
        <w:pStyle w:val="TableParagraph"/>
        <w:numPr>
          <w:ilvl w:val="1"/>
          <w:numId w:val="2"/>
        </w:numPr>
        <w:snapToGrid w:val="false"/>
        <w:spacing w:lineRule="auto" w:line="276"/>
        <w:ind w:left="1134" w:hanging="567"/>
        <w:rPr>
          <w:rFonts w:ascii="Calibri" w:hAnsi="Calibri" w:cs="Calibri" w:asciiTheme="minorHAnsi" w:cstheme="minorHAnsi" w:hAnsiTheme="minorHAnsi"/>
          <w:b/>
          <w:iCs/>
          <w:color w:val="000000" w:themeColor="text1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>
      <w:pPr>
        <w:pStyle w:val="TableParagraph"/>
        <w:spacing w:lineRule="auto" w:line="276" w:before="120" w:after="0"/>
        <w:jc w:val="center"/>
        <w:rPr>
          <w:rFonts w:ascii="Calibri" w:hAnsi="Calibri" w:cs="Calibri" w:asciiTheme="minorHAnsi" w:cstheme="minorHAnsi" w:hAnsiTheme="minorHAnsi"/>
          <w:b/>
          <w:iCs/>
          <w:color w:val="000000" w:themeColor="text1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iCs/>
          <w:color w:val="000000" w:themeColor="text1"/>
          <w:sz w:val="24"/>
          <w:szCs w:val="24"/>
        </w:rPr>
        <w:t>Forma zajęć:</w:t>
      </w:r>
    </w:p>
    <w:p>
      <w:pPr>
        <w:pStyle w:val="TableParagraph"/>
        <w:spacing w:lineRule="auto" w:line="276" w:before="0" w:after="120"/>
        <w:jc w:val="center"/>
        <w:rPr>
          <w:rFonts w:ascii="Calibri" w:hAnsi="Calibri" w:cs="Calibri" w:asciiTheme="minorHAnsi" w:cstheme="minorHAnsi" w:hAnsiTheme="minorHAnsi"/>
          <w:iCs/>
          <w:color w:val="000000" w:themeColor="text1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iCs/>
          <w:color w:val="000000" w:themeColor="text1"/>
          <w:sz w:val="24"/>
          <w:szCs w:val="24"/>
        </w:rPr>
        <w:t xml:space="preserve">ĆWICZENIA (C) </w:t>
      </w:r>
      <w:r>
        <w:rPr>
          <w:rFonts w:cs="Calibri" w:ascii="Calibri" w:hAnsi="Calibri" w:asciiTheme="minorHAnsi" w:cstheme="minorHAnsi" w:hAnsiTheme="minorHAnsi"/>
          <w:bCs/>
          <w:iCs/>
          <w:color w:val="000000" w:themeColor="text1"/>
          <w:sz w:val="24"/>
          <w:szCs w:val="24"/>
        </w:rPr>
        <w:t>(w tym zajęcia prowadzone z wykorzystaniem metod i technik kształcenia na odległość)</w:t>
      </w:r>
    </w:p>
    <w:tbl>
      <w:tblPr>
        <w:tblStyle w:val="Tabela-Siatka"/>
        <w:tblW w:w="982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7"/>
        <w:gridCol w:w="8875"/>
      </w:tblGrid>
      <w:tr>
        <w:trPr/>
        <w:tc>
          <w:tcPr>
            <w:tcW w:w="947" w:type="dxa"/>
            <w:tcBorders/>
          </w:tcPr>
          <w:p>
            <w:pPr>
              <w:pStyle w:val="Tretekstu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</w:rPr>
              <w:t>Ocena</w:t>
            </w:r>
          </w:p>
        </w:tc>
        <w:tc>
          <w:tcPr>
            <w:tcW w:w="8875" w:type="dxa"/>
            <w:tcBorders/>
          </w:tcPr>
          <w:p>
            <w:pPr>
              <w:pStyle w:val="Tretekstu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</w:rPr>
              <w:t>Kryterium oceny</w:t>
            </w:r>
          </w:p>
        </w:tc>
      </w:tr>
      <w:tr>
        <w:trPr/>
        <w:tc>
          <w:tcPr>
            <w:tcW w:w="947" w:type="dxa"/>
            <w:tcBorders/>
          </w:tcPr>
          <w:p>
            <w:pPr>
              <w:pStyle w:val="Tretekstu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w w:val="99"/>
                <w:kern w:val="0"/>
                <w:sz w:val="21"/>
                <w:szCs w:val="21"/>
              </w:rPr>
              <w:t>3,0</w:t>
            </w:r>
          </w:p>
        </w:tc>
        <w:tc>
          <w:tcPr>
            <w:tcW w:w="8875" w:type="dxa"/>
            <w:tcBorders/>
          </w:tcPr>
          <w:p>
            <w:pPr>
              <w:pStyle w:val="Tretekstu"/>
              <w:widowControl w:val="false"/>
              <w:suppressAutoHyphens w:val="true"/>
              <w:spacing w:lineRule="auto" w:line="276" w:before="0" w:after="0"/>
              <w:jc w:val="both"/>
              <w:rPr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</w:pPr>
            <w:r>
              <w:rPr>
                <w:rFonts w:eastAsia="Times New Roman" w:cs="Calibri" w:ascii="Calibri" w:hAnsi="Calibri" w:cstheme="minorHAnsi"/>
                <w:b w:val="false"/>
                <w:bCs w:val="false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  <w:t xml:space="preserve">Od 50%; Student zdał kolokwium w stopniu dostatecznym </w:t>
            </w:r>
          </w:p>
        </w:tc>
      </w:tr>
      <w:tr>
        <w:trPr/>
        <w:tc>
          <w:tcPr>
            <w:tcW w:w="947" w:type="dxa"/>
            <w:tcBorders/>
          </w:tcPr>
          <w:p>
            <w:pPr>
              <w:pStyle w:val="Tretekstu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</w:rPr>
              <w:t>3,5</w:t>
            </w:r>
          </w:p>
        </w:tc>
        <w:tc>
          <w:tcPr>
            <w:tcW w:w="8875" w:type="dxa"/>
            <w:tcBorders>
              <w:top w:val="nil"/>
            </w:tcBorders>
          </w:tcPr>
          <w:p>
            <w:pPr>
              <w:pStyle w:val="Tretekstu"/>
              <w:widowControl w:val="false"/>
              <w:suppressAutoHyphens w:val="true"/>
              <w:spacing w:lineRule="auto" w:line="276" w:before="0" w:after="0"/>
              <w:jc w:val="both"/>
              <w:rPr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</w:pPr>
            <w:r>
              <w:rPr>
                <w:rFonts w:eastAsia="Times New Roman" w:cs="Calibri" w:ascii="Calibri" w:hAnsi="Calibri" w:cstheme="minorHAnsi"/>
                <w:b w:val="false"/>
                <w:bCs w:val="false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  <w:t xml:space="preserve">Od 61%; Student zdał kolokwium w stopniu dostatecznym +, był aktywny na zajęciach </w:t>
            </w:r>
          </w:p>
        </w:tc>
      </w:tr>
      <w:tr>
        <w:trPr/>
        <w:tc>
          <w:tcPr>
            <w:tcW w:w="947" w:type="dxa"/>
            <w:tcBorders/>
          </w:tcPr>
          <w:p>
            <w:pPr>
              <w:pStyle w:val="Tretekstu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w w:val="99"/>
                <w:kern w:val="0"/>
                <w:sz w:val="21"/>
                <w:szCs w:val="21"/>
              </w:rPr>
              <w:t>4,0</w:t>
            </w:r>
          </w:p>
        </w:tc>
        <w:tc>
          <w:tcPr>
            <w:tcW w:w="8875" w:type="dxa"/>
            <w:tcBorders>
              <w:top w:val="nil"/>
            </w:tcBorders>
          </w:tcPr>
          <w:p>
            <w:pPr>
              <w:pStyle w:val="Tretekstu"/>
              <w:widowControl w:val="false"/>
              <w:suppressAutoHyphens w:val="true"/>
              <w:spacing w:lineRule="auto" w:line="276" w:before="0" w:after="0"/>
              <w:jc w:val="both"/>
              <w:rPr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</w:pPr>
            <w:r>
              <w:rPr>
                <w:rFonts w:eastAsia="Times New Roman" w:cs="Calibri" w:ascii="Calibri" w:hAnsi="Calibri" w:cstheme="minorHAnsi"/>
                <w:b w:val="false"/>
                <w:bCs w:val="false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  <w:t xml:space="preserve">Od 71%; Student zdał kolokwium w stopniu dobrym, był aktywny na zajęciach </w:t>
            </w:r>
          </w:p>
        </w:tc>
      </w:tr>
      <w:tr>
        <w:trPr/>
        <w:tc>
          <w:tcPr>
            <w:tcW w:w="947" w:type="dxa"/>
            <w:tcBorders/>
          </w:tcPr>
          <w:p>
            <w:pPr>
              <w:pStyle w:val="Tretekstu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</w:rPr>
              <w:t>4,5</w:t>
            </w:r>
          </w:p>
        </w:tc>
        <w:tc>
          <w:tcPr>
            <w:tcW w:w="8875" w:type="dxa"/>
            <w:tcBorders>
              <w:top w:val="nil"/>
            </w:tcBorders>
          </w:tcPr>
          <w:p>
            <w:pPr>
              <w:pStyle w:val="Tretekstu"/>
              <w:widowControl w:val="false"/>
              <w:suppressAutoHyphens w:val="true"/>
              <w:spacing w:lineRule="auto" w:line="276" w:before="0" w:after="0"/>
              <w:jc w:val="both"/>
              <w:rPr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</w:pPr>
            <w:r>
              <w:rPr>
                <w:rFonts w:eastAsia="Times New Roman" w:cs="Calibri" w:ascii="Calibri" w:hAnsi="Calibri" w:cstheme="minorHAnsi"/>
                <w:b w:val="false"/>
                <w:bCs w:val="false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  <w:t xml:space="preserve">Od 81%; Student zdał kolokwium w stopniu dobrym +, był aktywny na zajęciach </w:t>
            </w:r>
          </w:p>
        </w:tc>
      </w:tr>
      <w:tr>
        <w:trPr/>
        <w:tc>
          <w:tcPr>
            <w:tcW w:w="947" w:type="dxa"/>
            <w:tcBorders/>
          </w:tcPr>
          <w:p>
            <w:pPr>
              <w:pStyle w:val="Tretekstu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w w:val="99"/>
                <w:kern w:val="0"/>
                <w:sz w:val="21"/>
                <w:szCs w:val="21"/>
              </w:rPr>
              <w:t>5,0</w:t>
            </w:r>
          </w:p>
        </w:tc>
        <w:tc>
          <w:tcPr>
            <w:tcW w:w="8875" w:type="dxa"/>
            <w:tcBorders>
              <w:top w:val="nil"/>
            </w:tcBorders>
          </w:tcPr>
          <w:p>
            <w:pPr>
              <w:pStyle w:val="Tretekstu"/>
              <w:widowControl w:val="false"/>
              <w:suppressAutoHyphens w:val="true"/>
              <w:spacing w:lineRule="auto" w:line="276" w:before="0" w:after="0"/>
              <w:jc w:val="both"/>
              <w:rPr>
                <w:rFonts w:ascii="Calibri" w:hAnsi="Calibri" w:eastAsia="Times New Roman" w:cs="Calibri" w:asciiTheme="minorHAnsi" w:cstheme="minorHAnsi" w:hAnsiTheme="minorHAnsi"/>
                <w:b w:val="false"/>
                <w:bCs w:val="false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</w:pPr>
            <w:r>
              <w:rPr>
                <w:rFonts w:eastAsia="Times New Roman" w:cs="Calibri" w:ascii="Calibri" w:hAnsi="Calibri" w:cstheme="minorHAnsi"/>
                <w:b w:val="false"/>
                <w:bCs w:val="false"/>
                <w:iCs/>
                <w:color w:val="000000" w:themeColor="text1"/>
                <w:kern w:val="0"/>
                <w:sz w:val="21"/>
                <w:szCs w:val="21"/>
                <w:lang w:val="pl-PL" w:eastAsia="pl-PL" w:bidi="pl-PL"/>
              </w:rPr>
              <w:t xml:space="preserve">Od 91%Student zdał kolokwium w stopniu bardzo dobrym, był aktywny na zajęciach </w:t>
            </w:r>
          </w:p>
        </w:tc>
      </w:tr>
    </w:tbl>
    <w:p>
      <w:pPr>
        <w:pStyle w:val="Nagwek2"/>
        <w:numPr>
          <w:ilvl w:val="0"/>
          <w:numId w:val="1"/>
        </w:numPr>
        <w:shd w:val="clear" w:color="auto" w:fill="auto"/>
        <w:spacing w:lineRule="auto" w:line="276" w:before="240" w:after="0"/>
        <w:ind w:left="850" w:right="544" w:hanging="360"/>
        <w:rPr>
          <w:iCs/>
          <w:color w:val="000000" w:themeColor="text1"/>
          <w:sz w:val="24"/>
          <w:szCs w:val="24"/>
        </w:rPr>
      </w:pPr>
      <w:r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9844" w:type="dxa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5494"/>
        <w:gridCol w:w="4349"/>
      </w:tblGrid>
      <w:tr>
        <w:trPr>
          <w:trHeight w:val="460" w:hRule="atLeast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Kategoria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84" w:right="81" w:hanging="0"/>
              <w:jc w:val="center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Obciążenie studenta: studia stacjonarne</w:t>
            </w:r>
          </w:p>
        </w:tc>
      </w:tr>
      <w:tr>
        <w:trPr>
          <w:trHeight w:val="412" w:hRule="atLeast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7" w:hanging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iCs/>
                <w:color w:val="000000" w:themeColor="text1"/>
                <w:kern w:val="0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b/>
                <w:bCs/>
                <w:iCs/>
                <w:color w:val="000000" w:themeColor="text1"/>
                <w:kern w:val="0"/>
                <w:sz w:val="21"/>
                <w:szCs w:val="21"/>
              </w:rPr>
              <w:t>30</w:t>
            </w:r>
          </w:p>
        </w:tc>
      </w:tr>
      <w:tr>
        <w:trPr>
          <w:trHeight w:val="282" w:hRule="atLeast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7" w:hanging="0"/>
              <w:jc w:val="left"/>
              <w:rPr>
                <w:rFonts w:ascii="Calibri" w:hAnsi="Calibri" w:cs="Calibri" w:asciiTheme="minorHAnsi" w:cstheme="minorHAnsi" w:hAnsi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</w:rPr>
              <w:t>Udział w ćwiczeniach, konwersatoriach, laboratoriach*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iCs/>
                <w:color w:val="000000" w:themeColor="text1"/>
                <w:kern w:val="0"/>
                <w:sz w:val="21"/>
                <w:szCs w:val="21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7" w:hanging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iCs/>
                <w:color w:val="000000" w:themeColor="text1"/>
                <w:kern w:val="0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b/>
                <w:bCs/>
                <w:iCs/>
                <w:color w:val="000000" w:themeColor="text1"/>
                <w:kern w:val="0"/>
                <w:sz w:val="21"/>
                <w:szCs w:val="21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7" w:hanging="0"/>
              <w:jc w:val="left"/>
              <w:rPr>
                <w:rFonts w:ascii="Calibri" w:hAnsi="Calibri" w:cs="Calibri" w:asciiTheme="minorHAnsi" w:cstheme="minorHAnsi" w:hAnsi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</w:rPr>
              <w:t>Przygotowanie do ćwiczeń, konwersatorium, laboratorium*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iCs/>
                <w:color w:val="000000" w:themeColor="text1"/>
                <w:kern w:val="0"/>
                <w:sz w:val="21"/>
                <w:szCs w:val="21"/>
              </w:rPr>
              <w:t>10</w:t>
            </w:r>
          </w:p>
        </w:tc>
      </w:tr>
      <w:tr>
        <w:trPr>
          <w:trHeight w:val="282" w:hRule="atLeast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7" w:hanging="0"/>
              <w:jc w:val="left"/>
              <w:rPr>
                <w:rFonts w:ascii="Calibri" w:hAnsi="Calibri" w:cs="Calibri" w:asciiTheme="minorHAnsi" w:cstheme="minorHAnsi" w:hAnsi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iCs/>
                <w:color w:val="000000" w:themeColor="text1"/>
                <w:kern w:val="0"/>
                <w:sz w:val="21"/>
                <w:szCs w:val="21"/>
              </w:rPr>
              <w:t>Przygotowanie do egzaminu/kolokwium*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iCs/>
                <w:color w:val="000000" w:themeColor="text1"/>
                <w:kern w:val="0"/>
                <w:sz w:val="21"/>
                <w:szCs w:val="21"/>
              </w:rPr>
              <w:t>5</w:t>
            </w:r>
          </w:p>
        </w:tc>
      </w:tr>
      <w:tr>
        <w:trPr>
          <w:trHeight w:val="282" w:hRule="atLeast"/>
        </w:trPr>
        <w:tc>
          <w:tcPr>
            <w:tcW w:w="54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7" w:hanging="0"/>
              <w:jc w:val="left"/>
              <w:rPr>
                <w:rFonts w:ascii="Calibri" w:hAnsi="Calibri" w:cs="Calibri" w:asciiTheme="minorHAnsi" w:cstheme="minorHAnsi" w:hAnsi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iCs/>
                <w:color w:val="000000" w:themeColor="text1"/>
                <w:sz w:val="21"/>
                <w:szCs w:val="21"/>
              </w:rPr>
              <w:t>Przygotowanie prezentacji</w:t>
            </w:r>
          </w:p>
        </w:tc>
        <w:tc>
          <w:tcPr>
            <w:tcW w:w="4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>
        <w:trPr>
          <w:trHeight w:val="282" w:hRule="atLeast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7" w:hanging="0"/>
              <w:jc w:val="left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ŁĄCZNA LICZBA GODZIN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b/>
                <w:bCs/>
                <w:iCs/>
                <w:color w:val="000000" w:themeColor="text1"/>
                <w:kern w:val="0"/>
                <w:sz w:val="21"/>
                <w:szCs w:val="21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ind w:left="107" w:hanging="0"/>
              <w:jc w:val="left"/>
              <w:rPr>
                <w:rFonts w:ascii="Calibri" w:hAnsi="Calibri" w:cs="Calibri" w:asciiTheme="minorHAnsi" w:cstheme="minorHAnsi" w:hAnsi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iCs/>
                <w:color w:val="000000" w:themeColor="text1"/>
                <w:kern w:val="0"/>
                <w:sz w:val="21"/>
                <w:szCs w:val="21"/>
              </w:rPr>
              <w:t>PUNKTY ECTS za przedmiot (zajęcia)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2F2F2" w:themeFill="background1" w:themeFillShade="f2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76" w:before="0" w:after="0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cs="Calibri" w:ascii="Calibri" w:hAnsi="Calibri" w:cstheme="minorHAnsi"/>
                <w:b/>
                <w:bCs/>
                <w:iCs/>
                <w:color w:val="000000" w:themeColor="text1"/>
                <w:kern w:val="0"/>
                <w:sz w:val="21"/>
                <w:szCs w:val="21"/>
              </w:rPr>
              <w:t>2</w:t>
            </w:r>
          </w:p>
        </w:tc>
      </w:tr>
    </w:tbl>
    <w:p>
      <w:pPr>
        <w:pStyle w:val="Normal"/>
        <w:spacing w:lineRule="auto" w:line="276" w:before="360" w:after="120"/>
        <w:ind w:left="255" w:hanging="0"/>
        <w:rPr>
          <w:rFonts w:ascii="Calibri" w:hAnsi="Calibri" w:cs="Calibri" w:asciiTheme="minorHAnsi" w:cstheme="minorHAnsi" w:hAnsiTheme="minorHAnsi"/>
          <w:b/>
          <w:iCs/>
          <w:color w:val="000000" w:themeColor="text1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iCs/>
          <w:color w:val="000000" w:themeColor="text1"/>
          <w:sz w:val="20"/>
          <w:szCs w:val="20"/>
        </w:rPr>
        <w:t>*niepotrzebne usunąć</w:t>
      </w:r>
    </w:p>
    <w:p>
      <w:pPr>
        <w:pStyle w:val="Normal"/>
        <w:spacing w:lineRule="auto" w:line="276" w:before="480" w:after="360"/>
        <w:jc w:val="center"/>
        <w:rPr>
          <w:rFonts w:ascii="Calibri" w:hAnsi="Calibri" w:cs="Calibri" w:asciiTheme="minorHAnsi" w:cstheme="minorHAnsi" w:hAnsiTheme="minorHAnsi"/>
          <w:iCs/>
          <w:color w:val="000000" w:themeColor="text1"/>
          <w:sz w:val="21"/>
          <w:szCs w:val="21"/>
        </w:rPr>
      </w:pPr>
      <w:r>
        <w:rPr>
          <w:rFonts w:cs="Calibri" w:ascii="Calibri" w:hAnsi="Calibri" w:asciiTheme="minorHAnsi" w:cstheme="minorHAnsi" w:hAnsi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>
        <w:rPr>
          <w:rFonts w:cs="Calibri" w:ascii="Calibri" w:hAnsi="Calibri" w:asciiTheme="minorHAnsi" w:cstheme="minorHAnsi" w:hAnsiTheme="minorHAnsi"/>
          <w:iCs/>
          <w:color w:val="000000" w:themeColor="text1"/>
          <w:sz w:val="20"/>
          <w:szCs w:val="20"/>
        </w:rPr>
        <w:t>(data i czytelne podpisy osób prowadzących przedmiot (zajęcia) w danym roku akademickim)</w:t>
      </w:r>
    </w:p>
    <w:p>
      <w:pPr>
        <w:pStyle w:val="Normal"/>
        <w:tabs>
          <w:tab w:val="clear" w:pos="720"/>
          <w:tab w:val="left" w:pos="10206" w:leader="dot"/>
        </w:tabs>
        <w:snapToGrid w:val="false"/>
        <w:spacing w:lineRule="auto" w:line="276" w:before="600" w:after="480"/>
        <w:ind w:firstLine="2268"/>
        <w:jc w:val="center"/>
        <w:rPr>
          <w:rFonts w:ascii="Calibri" w:hAnsi="Calibri" w:cs="Calibri" w:asciiTheme="minorHAnsi" w:cstheme="minorHAnsi" w:hAnsiTheme="minorHAnsi"/>
          <w:iCs/>
          <w:sz w:val="21"/>
          <w:szCs w:val="21"/>
        </w:rPr>
      </w:pPr>
      <w:r>
        <w:rPr>
          <w:rFonts w:cs="Calibri" w:ascii="Calibri" w:hAnsi="Calibri" w:asciiTheme="minorHAnsi" w:cstheme="minorHAnsi" w:hAnsi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cs="Calibri" w:ascii="Calibri" w:hAnsi="Calibri" w:asciiTheme="minorHAnsi" w:cstheme="minorHAnsi" w:hAnsiTheme="minorHAnsi"/>
          <w:iCs/>
          <w:sz w:val="21"/>
          <w:szCs w:val="21"/>
        </w:rPr>
        <w:t>…………………</w:t>
      </w:r>
      <w:r>
        <w:rPr>
          <w:rFonts w:cs="Calibri" w:ascii="Calibri" w:hAnsi="Calibri" w:asciiTheme="minorHAnsi" w:cstheme="minorHAnsi" w:hAnsiTheme="minorHAnsi"/>
          <w:iCs/>
          <w:sz w:val="21"/>
          <w:szCs w:val="21"/>
        </w:rPr>
        <w:t>..</w:t>
      </w:r>
    </w:p>
    <w:sectPr>
      <w:type w:val="nextPage"/>
      <w:pgSz w:w="11906" w:h="16838"/>
      <w:pgMar w:left="1020" w:right="720" w:gutter="0" w:header="0" w:top="720" w:footer="0" w:bottom="720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altName w:val="Times New Roman PSMT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9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5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0" w:hanging="180"/>
      </w:pPr>
      <w:rPr/>
    </w:lvl>
  </w:abstractNum>
  <w:abstractNum w:abstractNumId="2"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2912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3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09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2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03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82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397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576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99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71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43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15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87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59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31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703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756" w:hanging="180"/>
      </w:pPr>
      <w:rPr/>
    </w:lvl>
  </w:abstractNum>
  <w:abstractNum w:abstractNumId="4">
    <w:lvl w:ilvl="0">
      <w:start w:val="1"/>
      <w:numFmt w:val="decimal"/>
      <w:lvlText w:val="2.%1."/>
      <w:lvlJc w:val="left"/>
      <w:pPr>
        <w:tabs>
          <w:tab w:val="num" w:pos="0"/>
        </w:tabs>
        <w:ind w:left="82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4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87" w:hanging="180"/>
      </w:pPr>
      <w:rPr/>
    </w:lvl>
  </w:abstractNum>
  <w:abstractNum w:abstractNumId="5">
    <w:lvl w:ilvl="0">
      <w:start w:val="1"/>
      <w:numFmt w:val="decimal"/>
      <w:lvlText w:val="3.%1."/>
      <w:lvlJc w:val="left"/>
      <w:pPr>
        <w:tabs>
          <w:tab w:val="num" w:pos="0"/>
        </w:tabs>
        <w:ind w:left="93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363f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pl-PL" w:bidi="pl-PL"/>
    </w:rPr>
  </w:style>
  <w:style w:type="paragraph" w:styleId="Nagwek1">
    <w:name w:val="Heading 1"/>
    <w:basedOn w:val="Normal"/>
    <w:next w:val="Normal"/>
    <w:link w:val="Nagwek1Znak"/>
    <w:uiPriority w:val="9"/>
    <w:qFormat/>
    <w:rsid w:val="009d2d35"/>
    <w:pPr>
      <w:keepNext w:val="true"/>
      <w:keepLines/>
      <w:spacing w:before="240" w:after="0"/>
      <w:outlineLvl w:val="0"/>
    </w:pPr>
    <w:rPr>
      <w:rFonts w:ascii="Cambria" w:hAnsi="Cambria" w:eastAsia="宋体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Nagwek2">
    <w:name w:val="Heading 2"/>
    <w:basedOn w:val="Normal"/>
    <w:next w:val="Normal"/>
    <w:link w:val="Nagwek2Znak"/>
    <w:uiPriority w:val="9"/>
    <w:unhideWhenUsed/>
    <w:qFormat/>
    <w:rsid w:val="004b30d1"/>
    <w:pPr>
      <w:keepNext w:val="true"/>
      <w:keepLines/>
      <w:numPr>
        <w:ilvl w:val="0"/>
        <w:numId w:val="1"/>
      </w:numPr>
      <w:shd w:val="clear" w:color="auto" w:fill="ECF1F8"/>
      <w:spacing w:before="40" w:after="0"/>
      <w:ind w:right="547" w:hanging="0"/>
      <w:outlineLvl w:val="1"/>
    </w:pPr>
    <w:rPr>
      <w:rFonts w:ascii="Calibri" w:hAnsi="Calibri" w:eastAsia="宋体" w:cs="Calibri" w:asciiTheme="minorHAnsi" w:cstheme="minorHAnsi" w:eastAsiaTheme="majorEastAsia" w:hAnsiTheme="minorHAnsi"/>
      <w:b/>
      <w:bCs/>
      <w:sz w:val="20"/>
      <w:szCs w:val="20"/>
    </w:rPr>
  </w:style>
  <w:style w:type="paragraph" w:styleId="Nagwek3">
    <w:name w:val="Heading 3"/>
    <w:basedOn w:val="Normal"/>
    <w:next w:val="Normal"/>
    <w:link w:val="Nagwek3Znak"/>
    <w:uiPriority w:val="9"/>
    <w:unhideWhenUsed/>
    <w:qFormat/>
    <w:rsid w:val="004501ed"/>
    <w:pPr>
      <w:keepNext w:val="true"/>
      <w:keepLines/>
      <w:spacing w:before="40" w:after="0"/>
      <w:outlineLvl w:val="2"/>
    </w:pPr>
    <w:rPr>
      <w:rFonts w:ascii="Cambria" w:hAnsi="Cambria" w:eastAsia="宋体" w:cs="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9d2d35"/>
    <w:rPr>
      <w:rFonts w:ascii="Cambria" w:hAnsi="Cambria" w:eastAsia="宋体" w:cs="" w:asciiTheme="majorHAnsi" w:cstheme="majorBidi" w:eastAsiaTheme="majorEastAsia" w:hAnsiTheme="majorHAnsi"/>
      <w:color w:val="365F91" w:themeColor="accent1" w:themeShade="bf"/>
      <w:sz w:val="32"/>
      <w:szCs w:val="32"/>
      <w:lang w:val="pl-PL" w:eastAsia="pl-PL" w:bidi="pl-PL"/>
    </w:rPr>
  </w:style>
  <w:style w:type="character" w:styleId="Nagwek2Znak" w:customStyle="1">
    <w:name w:val="Nagłówek 2 Znak"/>
    <w:basedOn w:val="DefaultParagraphFont"/>
    <w:uiPriority w:val="9"/>
    <w:qFormat/>
    <w:rsid w:val="004b30d1"/>
    <w:rPr>
      <w:rFonts w:eastAsia="宋体" w:cs="Calibri" w:cstheme="minorHAnsi" w:eastAsiaTheme="majorEastAsia"/>
      <w:b/>
      <w:bCs/>
      <w:sz w:val="20"/>
      <w:szCs w:val="20"/>
      <w:shd w:fill="ECF1F8" w:val="clear"/>
      <w:lang w:val="pl-PL" w:eastAsia="pl-PL" w:bidi="pl-PL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c2d66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qFormat/>
    <w:rsid w:val="004c2d66"/>
    <w:rPr>
      <w:rFonts w:ascii="Times New Roman" w:hAnsi="Times New Roman" w:eastAsia="Times New Roman" w:cs="Times New Roman"/>
      <w:sz w:val="20"/>
      <w:szCs w:val="20"/>
      <w:lang w:val="pl-PL" w:eastAsia="pl-PL" w:bidi="pl-PL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4c2d66"/>
    <w:rPr>
      <w:rFonts w:ascii="Times New Roman" w:hAnsi="Times New Roman" w:eastAsia="Times New Roman" w:cs="Times New Roman"/>
      <w:b/>
      <w:bCs/>
      <w:sz w:val="20"/>
      <w:szCs w:val="20"/>
      <w:lang w:val="pl-PL" w:eastAsia="pl-PL" w:bidi="pl-PL"/>
    </w:rPr>
  </w:style>
  <w:style w:type="character" w:styleId="TekstpodstawowyZnak" w:customStyle="1">
    <w:name w:val="Tekst podstawowy Znak"/>
    <w:basedOn w:val="DefaultParagraphFont"/>
    <w:uiPriority w:val="1"/>
    <w:qFormat/>
    <w:rsid w:val="006e60c3"/>
    <w:rPr>
      <w:rFonts w:ascii="Times New Roman" w:hAnsi="Times New Roman" w:eastAsia="Times New Roman" w:cs="Times New Roman"/>
      <w:b/>
      <w:bCs/>
      <w:sz w:val="20"/>
      <w:szCs w:val="20"/>
      <w:lang w:val="pl-PL" w:eastAsia="pl-PL" w:bidi="pl-PL"/>
    </w:rPr>
  </w:style>
  <w:style w:type="character" w:styleId="Nagwek3Znak" w:customStyle="1">
    <w:name w:val="Nagłówek 3 Znak"/>
    <w:basedOn w:val="DefaultParagraphFont"/>
    <w:uiPriority w:val="9"/>
    <w:qFormat/>
    <w:rsid w:val="004501ed"/>
    <w:rPr>
      <w:rFonts w:ascii="Cambria" w:hAnsi="Cambria" w:eastAsia="宋体" w:cs="" w:asciiTheme="majorHAnsi" w:cstheme="majorBidi" w:eastAsiaTheme="majorEastAsia" w:hAnsiTheme="majorHAnsi"/>
      <w:color w:val="243F60" w:themeColor="accent1" w:themeShade="7f"/>
      <w:sz w:val="24"/>
      <w:szCs w:val="24"/>
      <w:lang w:val="pl-PL" w:eastAsia="pl-PL" w:bidi="pl-PL"/>
    </w:rPr>
  </w:style>
  <w:style w:type="character" w:styleId="Styl1Znak" w:customStyle="1">
    <w:name w:val="Styl1 Znak"/>
    <w:basedOn w:val="Nagwek3Znak"/>
    <w:link w:val="Styl1"/>
    <w:qFormat/>
    <w:rsid w:val="004501ed"/>
    <w:rPr>
      <w:rFonts w:ascii="Calibri" w:hAnsi="Calibri" w:eastAsia="宋体" w:cs="" w:cstheme="majorBidi" w:eastAsiaTheme="majorEastAsia"/>
      <w:i/>
      <w:color w:val="243F60" w:themeColor="accent1" w:themeShade="7f"/>
      <w:sz w:val="24"/>
      <w:szCs w:val="24"/>
      <w:lang w:val="pl-PL" w:eastAsia="pl-PL" w:bidi="pl-PL"/>
    </w:rPr>
  </w:style>
  <w:style w:type="character" w:styleId="Czeinternetowe">
    <w:name w:val="Hyperlink"/>
    <w:rPr>
      <w:color w:val="0066CC"/>
      <w:u w:val="single"/>
    </w:rPr>
  </w:style>
  <w:style w:type="character" w:styleId="Odwiedzoneczeinternetowe">
    <w:name w:val="FollowedHyperlink"/>
    <w:rPr>
      <w:color w:val="954F72"/>
      <w:u w:val="single"/>
    </w:rPr>
  </w:style>
  <w:style w:type="character" w:styleId="Domylnaczcionkaakapitu">
    <w:name w:val="Domyślna czcionka akapitu"/>
    <w:qFormat/>
    <w:rPr/>
  </w:style>
  <w:style w:type="character" w:styleId="Normaltextrun">
    <w:name w:val="normaltextrun"/>
    <w:basedOn w:val="Domylnaczcionkaakapitu"/>
    <w:qFormat/>
    <w:rPr/>
  </w:style>
  <w:style w:type="character" w:styleId="Eop">
    <w:name w:val="eop"/>
    <w:basedOn w:val="Domylnaczcionkaakapitu"/>
    <w:qFormat/>
    <w:rPr/>
  </w:style>
  <w:style w:type="character" w:styleId="WW8Num37z1">
    <w:name w:val="WW8Num37z1"/>
    <w:qFormat/>
    <w:rPr/>
  </w:style>
  <w:style w:type="character" w:styleId="WW8Num34z1">
    <w:name w:val="WW8Num34z1"/>
    <w:qFormat/>
    <w:rPr/>
  </w:style>
  <w:style w:type="character" w:styleId="WW8Num40z0">
    <w:name w:val="WW8Num40z0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1"/>
    <w:qFormat/>
    <w:pPr/>
    <w:rPr>
      <w:b/>
      <w:bCs/>
      <w:sz w:val="20"/>
      <w:szCs w:val="20"/>
    </w:rPr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left="966" w:hanging="349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Annotationtext">
    <w:name w:val="annotation text"/>
    <w:basedOn w:val="Normal"/>
    <w:link w:val="TekstkomentarzaZnak"/>
    <w:uiPriority w:val="99"/>
    <w:unhideWhenUsed/>
    <w:qFormat/>
    <w:rsid w:val="004c2d6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4c2d66"/>
    <w:pPr/>
    <w:rPr>
      <w:b/>
      <w:bCs/>
    </w:rPr>
  </w:style>
  <w:style w:type="paragraph" w:styleId="Styl1" w:customStyle="1">
    <w:name w:val="Styl1"/>
    <w:basedOn w:val="Nagwek3"/>
    <w:link w:val="Styl1Znak"/>
    <w:qFormat/>
    <w:rsid w:val="004501ed"/>
    <w:pPr/>
    <w:rPr>
      <w:rFonts w:ascii="Calibri" w:hAnsi="Calibri"/>
      <w:i/>
      <w:color w:val="auto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Akapitzlist">
    <w:name w:val="Akapit z listą"/>
    <w:basedOn w:val="Normal"/>
    <w:qFormat/>
    <w:pPr>
      <w:widowControl w:val="false"/>
      <w:suppressAutoHyphens w:val="true"/>
      <w:ind w:left="720" w:hanging="0"/>
    </w:pPr>
    <w:rPr>
      <w:rFonts w:ascii="Times New Roman" w:hAnsi="Times New Roman" w:eastAsia="SimSun;宋体" w:cs="Times New Roman"/>
      <w:color w:val="000000"/>
      <w:kern w:val="2"/>
      <w:lang w:val="pl-PL" w:bidi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3">
    <w:name w:val="WW8Num3"/>
    <w:qFormat/>
  </w:style>
  <w:style w:type="numbering" w:styleId="WW8Num37">
    <w:name w:val="WW8Num37"/>
    <w:qFormat/>
  </w:style>
  <w:style w:type="numbering" w:styleId="WW8Num34">
    <w:name w:val="WW8Num34"/>
    <w:qFormat/>
  </w:style>
  <w:style w:type="numbering" w:styleId="WW8Num40">
    <w:name w:val="WW8Num40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f48d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Application>LibreOffice/7.5.2.2$Windows_X86_64 LibreOffice_project/53bb9681a964705cf672590721dbc85eb4d0c3a2</Application>
  <AppVersion>15.0000</AppVersion>
  <Pages>4</Pages>
  <Words>888</Words>
  <Characters>5833</Characters>
  <CharactersWithSpaces>6540</CharactersWithSpaces>
  <Paragraphs>176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2025-12-11T11:01:00Z</dcterms:created>
  <dc:creator>Rektor UJK</dc:creator>
  <dc:description/>
  <cp:keywords>Zarządzenie nr 189-2025 Budowa programu studiów Załącznik nr 4</cp:keywords>
  <dc:language>pl-PL</dc:language>
  <cp:lastModifiedBy/>
  <cp:lastPrinted>2025-10-28T07:51:00Z</cp:lastPrinted>
  <dcterms:modified xsi:type="dcterms:W3CDTF">2026-07-05T18:15:55Z</dcterms:modified>
  <cp:revision>14</cp:revision>
  <dc:subject/>
  <dc:title>Zarządzenie nr 189-2025 Budowa programu studiów Załącznik nr 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