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782EEB">
      <w:pPr>
        <w:pStyle w:val="2"/>
      </w:pPr>
      <w:r>
        <w:t xml:space="preserve">KARTA PRZEDMIOTU (ZAJĘĆ) </w:t>
      </w:r>
    </w:p>
    <w:p w14:paraId="0CACB78E">
      <w:pPr>
        <w:spacing w:after="251" w:line="268" w:lineRule="auto"/>
        <w:ind w:left="435" w:hanging="10"/>
      </w:pPr>
      <w:r>
        <w:rPr>
          <w:b/>
          <w:sz w:val="24"/>
        </w:rPr>
        <w:t xml:space="preserve">Kod przedmiotu (zajęć): </w:t>
      </w:r>
      <w:r>
        <w:rPr>
          <w:rFonts w:hint="default"/>
          <w:b/>
          <w:sz w:val="24"/>
        </w:rPr>
        <w:t xml:space="preserve">  0923.3.PS1.F2.WDS </w:t>
      </w:r>
    </w:p>
    <w:p w14:paraId="590A6F51">
      <w:pPr>
        <w:spacing w:after="51" w:line="268" w:lineRule="auto"/>
        <w:ind w:left="438" w:hanging="10"/>
        <w:rPr>
          <w:rFonts w:hint="default"/>
          <w:lang w:val="pl-PL"/>
        </w:rPr>
      </w:pPr>
      <w:r>
        <w:rPr>
          <w:b/>
          <w:sz w:val="24"/>
        </w:rPr>
        <w:t>Nazwa przedmiotu (zajęć) w języku polskim:</w:t>
      </w:r>
      <w:r>
        <w:rPr>
          <w:rFonts w:hint="default"/>
          <w:b/>
          <w:sz w:val="24"/>
          <w:lang w:val="pl-PL"/>
        </w:rPr>
        <w:t xml:space="preserve"> </w:t>
      </w:r>
      <w:r>
        <w:rPr>
          <w:b/>
          <w:sz w:val="24"/>
        </w:rPr>
        <w:t xml:space="preserve"> </w:t>
      </w:r>
      <w:r>
        <w:rPr>
          <w:rFonts w:hint="default"/>
          <w:b/>
          <w:sz w:val="24"/>
        </w:rPr>
        <w:t>Wstęp do suicydolog</w:t>
      </w:r>
      <w:r>
        <w:rPr>
          <w:rFonts w:hint="default"/>
          <w:b/>
          <w:sz w:val="24"/>
          <w:lang w:val="pl-PL"/>
        </w:rPr>
        <w:t>ii</w:t>
      </w:r>
    </w:p>
    <w:p w14:paraId="005D6121">
      <w:pPr>
        <w:spacing w:after="251" w:line="268" w:lineRule="auto"/>
        <w:ind w:left="438" w:hanging="10"/>
      </w:pPr>
      <w:r>
        <w:rPr>
          <w:b/>
          <w:sz w:val="24"/>
        </w:rPr>
        <w:t>Nazwa przedmiotu (zajęć) w języku angielskim:</w:t>
      </w:r>
      <w:r>
        <w:rPr>
          <w:sz w:val="24"/>
        </w:rPr>
        <w:t xml:space="preserve"> </w:t>
      </w:r>
      <w:r>
        <w:rPr>
          <w:rFonts w:hint="default"/>
          <w:sz w:val="24"/>
        </w:rPr>
        <w:t xml:space="preserve"> </w:t>
      </w:r>
      <w:r>
        <w:rPr>
          <w:rFonts w:hint="default"/>
          <w:b/>
          <w:bCs/>
          <w:sz w:val="24"/>
        </w:rPr>
        <w:t>Introduction to suicidology</w:t>
      </w:r>
    </w:p>
    <w:p w14:paraId="1963D548">
      <w:pPr>
        <w:numPr>
          <w:ilvl w:val="0"/>
          <w:numId w:val="1"/>
        </w:numPr>
        <w:spacing w:after="0" w:line="268" w:lineRule="auto"/>
        <w:ind w:hanging="360"/>
      </w:pPr>
      <w:r>
        <w:rPr>
          <w:b/>
          <w:sz w:val="24"/>
        </w:rPr>
        <w:t xml:space="preserve">Usytuowanie przedmiotu (zajęć) w systemie studiów </w:t>
      </w:r>
    </w:p>
    <w:tbl>
      <w:tblPr>
        <w:tblStyle w:val="8"/>
        <w:tblW w:w="9749" w:type="dxa"/>
        <w:tblInd w:w="362" w:type="dxa"/>
        <w:tblLayout w:type="autofit"/>
        <w:tblCellMar>
          <w:top w:w="48" w:type="dxa"/>
          <w:left w:w="0" w:type="dxa"/>
          <w:bottom w:w="0" w:type="dxa"/>
          <w:right w:w="17" w:type="dxa"/>
        </w:tblCellMar>
      </w:tblPr>
      <w:tblGrid>
        <w:gridCol w:w="4744"/>
        <w:gridCol w:w="5005"/>
      </w:tblGrid>
      <w:tr w14:paraId="57D2AB75">
        <w:tblPrEx>
          <w:tblCellMar>
            <w:top w:w="48" w:type="dxa"/>
            <w:left w:w="0" w:type="dxa"/>
            <w:bottom w:w="0" w:type="dxa"/>
            <w:right w:w="17" w:type="dxa"/>
          </w:tblCellMar>
        </w:tblPrEx>
        <w:trPr>
          <w:trHeight w:val="346" w:hRule="atLeast"/>
        </w:trPr>
        <w:tc>
          <w:tcPr>
            <w:tcW w:w="4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F9D7AB">
            <w:pPr>
              <w:spacing w:after="0"/>
              <w:ind w:left="135"/>
            </w:pPr>
            <w:r>
              <w:rPr>
                <w:b/>
                <w:sz w:val="21"/>
              </w:rPr>
              <w:t>1.1.</w:t>
            </w:r>
            <w:r>
              <w:rPr>
                <w:rFonts w:ascii="Arial" w:hAnsi="Arial" w:eastAsia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Kierunek studiów </w:t>
            </w:r>
          </w:p>
        </w:tc>
        <w:tc>
          <w:tcPr>
            <w:tcW w:w="5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CD378EA">
            <w:pPr>
              <w:spacing w:after="0"/>
              <w:rPr>
                <w:sz w:val="21"/>
                <w:szCs w:val="21"/>
              </w:rPr>
            </w:pPr>
            <w:r>
              <w:rPr>
                <w:rFonts w:hint="default" w:ascii="Calibri" w:hAnsi="Calibri" w:eastAsia="Times New Roman" w:cs="Calibri"/>
                <w:sz w:val="21"/>
                <w:szCs w:val="21"/>
              </w:rPr>
              <w:t xml:space="preserve">Praca socjalna </w:t>
            </w:r>
          </w:p>
        </w:tc>
      </w:tr>
      <w:tr w14:paraId="723689A0">
        <w:tblPrEx>
          <w:tblCellMar>
            <w:top w:w="48" w:type="dxa"/>
            <w:left w:w="0" w:type="dxa"/>
            <w:bottom w:w="0" w:type="dxa"/>
            <w:right w:w="17" w:type="dxa"/>
          </w:tblCellMar>
        </w:tblPrEx>
        <w:trPr>
          <w:trHeight w:val="305" w:hRule="atLeast"/>
        </w:trPr>
        <w:tc>
          <w:tcPr>
            <w:tcW w:w="4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088A7C">
            <w:pPr>
              <w:spacing w:after="0"/>
              <w:ind w:left="135"/>
            </w:pPr>
            <w:r>
              <w:rPr>
                <w:b/>
                <w:sz w:val="21"/>
              </w:rPr>
              <w:t>1.2.</w:t>
            </w:r>
            <w:r>
              <w:rPr>
                <w:rFonts w:ascii="Arial" w:hAnsi="Arial" w:eastAsia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Forma studiów </w:t>
            </w:r>
          </w:p>
        </w:tc>
        <w:tc>
          <w:tcPr>
            <w:tcW w:w="5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AB58EDE">
            <w:pPr>
              <w:spacing w:after="0"/>
              <w:rPr>
                <w:sz w:val="21"/>
                <w:szCs w:val="21"/>
              </w:rPr>
            </w:pPr>
            <w:r>
              <w:rPr>
                <w:rFonts w:hint="default" w:ascii="Calibri" w:hAnsi="Calibri" w:eastAsia="Times New Roman" w:cs="Calibri"/>
                <w:sz w:val="21"/>
                <w:szCs w:val="21"/>
              </w:rPr>
              <w:t xml:space="preserve">Stacjonarne </w:t>
            </w:r>
          </w:p>
        </w:tc>
      </w:tr>
      <w:tr w14:paraId="0EC9F5CE">
        <w:tblPrEx>
          <w:tblCellMar>
            <w:top w:w="48" w:type="dxa"/>
            <w:left w:w="0" w:type="dxa"/>
            <w:bottom w:w="0" w:type="dxa"/>
            <w:right w:w="17" w:type="dxa"/>
          </w:tblCellMar>
        </w:tblPrEx>
        <w:trPr>
          <w:trHeight w:val="305" w:hRule="atLeast"/>
        </w:trPr>
        <w:tc>
          <w:tcPr>
            <w:tcW w:w="4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4ABB0F">
            <w:pPr>
              <w:spacing w:after="0"/>
              <w:ind w:left="135"/>
            </w:pPr>
            <w:r>
              <w:rPr>
                <w:b/>
                <w:sz w:val="21"/>
              </w:rPr>
              <w:t>1.3.</w:t>
            </w:r>
            <w:r>
              <w:rPr>
                <w:rFonts w:ascii="Arial" w:hAnsi="Arial" w:eastAsia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Poziom studiów </w:t>
            </w:r>
          </w:p>
        </w:tc>
        <w:tc>
          <w:tcPr>
            <w:tcW w:w="5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AF6F2B6">
            <w:pPr>
              <w:spacing w:after="0"/>
              <w:rPr>
                <w:sz w:val="21"/>
                <w:szCs w:val="21"/>
              </w:rPr>
            </w:pPr>
            <w:r>
              <w:rPr>
                <w:rFonts w:hint="default" w:ascii="Calibri" w:hAnsi="Calibri" w:eastAsia="Times New Roman" w:cs="Calibri"/>
                <w:sz w:val="21"/>
                <w:szCs w:val="21"/>
              </w:rPr>
              <w:t xml:space="preserve">Pierwszego stopnia - licencjackie </w:t>
            </w:r>
          </w:p>
        </w:tc>
      </w:tr>
      <w:tr w14:paraId="31A58ED8">
        <w:tblPrEx>
          <w:tblCellMar>
            <w:top w:w="48" w:type="dxa"/>
            <w:left w:w="0" w:type="dxa"/>
            <w:bottom w:w="0" w:type="dxa"/>
            <w:right w:w="17" w:type="dxa"/>
          </w:tblCellMar>
        </w:tblPrEx>
        <w:trPr>
          <w:trHeight w:val="305" w:hRule="atLeast"/>
        </w:trPr>
        <w:tc>
          <w:tcPr>
            <w:tcW w:w="4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E79076">
            <w:pPr>
              <w:spacing w:after="0"/>
              <w:ind w:left="135"/>
            </w:pPr>
            <w:r>
              <w:rPr>
                <w:b/>
                <w:sz w:val="21"/>
              </w:rPr>
              <w:t>1.4.</w:t>
            </w:r>
            <w:r>
              <w:rPr>
                <w:rFonts w:ascii="Arial" w:hAnsi="Arial" w:eastAsia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Profil studiów </w:t>
            </w:r>
          </w:p>
        </w:tc>
        <w:tc>
          <w:tcPr>
            <w:tcW w:w="5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29DFAA5">
            <w:pPr>
              <w:spacing w:after="0"/>
              <w:rPr>
                <w:sz w:val="21"/>
                <w:szCs w:val="21"/>
              </w:rPr>
            </w:pPr>
            <w:r>
              <w:rPr>
                <w:rFonts w:hint="default" w:ascii="Calibri" w:hAnsi="Calibri" w:eastAsia="Times New Roman" w:cs="Calibri"/>
                <w:sz w:val="21"/>
                <w:szCs w:val="21"/>
              </w:rPr>
              <w:t xml:space="preserve">Praktyczny </w:t>
            </w:r>
          </w:p>
        </w:tc>
      </w:tr>
      <w:tr w14:paraId="47669183">
        <w:tblPrEx>
          <w:tblCellMar>
            <w:top w:w="48" w:type="dxa"/>
            <w:left w:w="0" w:type="dxa"/>
            <w:bottom w:w="0" w:type="dxa"/>
            <w:right w:w="17" w:type="dxa"/>
          </w:tblCellMar>
        </w:tblPrEx>
        <w:trPr>
          <w:trHeight w:val="305" w:hRule="atLeast"/>
        </w:trPr>
        <w:tc>
          <w:tcPr>
            <w:tcW w:w="4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65B489">
            <w:pPr>
              <w:spacing w:after="0"/>
              <w:ind w:left="135"/>
            </w:pPr>
            <w:r>
              <w:rPr>
                <w:b/>
                <w:sz w:val="21"/>
              </w:rPr>
              <w:t>1.5.</w:t>
            </w:r>
            <w:r>
              <w:rPr>
                <w:rFonts w:ascii="Arial" w:hAnsi="Arial" w:eastAsia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Osoba przygotowująca kartę przedmiotu (zajęć)</w:t>
            </w:r>
          </w:p>
        </w:tc>
        <w:tc>
          <w:tcPr>
            <w:tcW w:w="5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3CBAADC">
            <w:pPr>
              <w:spacing w:after="0"/>
              <w:rPr>
                <w:rFonts w:hint="default"/>
                <w:sz w:val="21"/>
                <w:szCs w:val="21"/>
                <w:lang w:val="pl-PL"/>
              </w:rPr>
            </w:pPr>
            <w:r>
              <w:rPr>
                <w:rFonts w:hint="default" w:ascii="Calibri" w:hAnsi="Calibri" w:eastAsia="Times New Roman" w:cs="Calibri"/>
                <w:sz w:val="21"/>
                <w:szCs w:val="21"/>
              </w:rPr>
              <w:t>mgr Sylwia Górska</w:t>
            </w:r>
            <w:r>
              <w:rPr>
                <w:rFonts w:hint="default" w:ascii="Calibri" w:hAnsi="Calibri" w:eastAsia="Times New Roman" w:cs="Calibri"/>
                <w:sz w:val="21"/>
                <w:szCs w:val="21"/>
                <w:lang w:val="pl-PL"/>
              </w:rPr>
              <w:t>/mgr Inga Staszowska</w:t>
            </w:r>
          </w:p>
        </w:tc>
      </w:tr>
      <w:tr w14:paraId="69661053">
        <w:tblPrEx>
          <w:tblCellMar>
            <w:top w:w="48" w:type="dxa"/>
            <w:left w:w="0" w:type="dxa"/>
            <w:bottom w:w="0" w:type="dxa"/>
            <w:right w:w="17" w:type="dxa"/>
          </w:tblCellMar>
        </w:tblPrEx>
        <w:trPr>
          <w:trHeight w:val="305" w:hRule="atLeast"/>
        </w:trPr>
        <w:tc>
          <w:tcPr>
            <w:tcW w:w="4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E93564">
            <w:pPr>
              <w:spacing w:after="0"/>
              <w:ind w:left="135"/>
            </w:pPr>
            <w:r>
              <w:rPr>
                <w:b/>
                <w:sz w:val="21"/>
              </w:rPr>
              <w:t>1.6.</w:t>
            </w:r>
            <w:r>
              <w:rPr>
                <w:rFonts w:ascii="Arial" w:hAnsi="Arial" w:eastAsia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Kontakt </w:t>
            </w:r>
          </w:p>
        </w:tc>
        <w:tc>
          <w:tcPr>
            <w:tcW w:w="5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1B21F42">
            <w:pPr>
              <w:spacing w:after="0"/>
              <w:rPr>
                <w:rFonts w:hint="default"/>
                <w:sz w:val="21"/>
                <w:szCs w:val="21"/>
                <w:lang w:val="pl-PL"/>
              </w:rPr>
            </w:pPr>
            <w:r>
              <w:rPr>
                <w:rFonts w:hint="default" w:ascii="Calibri" w:hAnsi="Calibri" w:eastAsia="Times New Roman" w:cs="Calibri"/>
                <w:sz w:val="21"/>
                <w:szCs w:val="21"/>
              </w:rPr>
              <w:t>sylwia.gorska@ujk.edu.pl</w:t>
            </w:r>
            <w:r>
              <w:rPr>
                <w:rFonts w:hint="default" w:ascii="Calibri" w:hAnsi="Calibri" w:eastAsia="Times New Roman" w:cs="Calibri"/>
                <w:sz w:val="21"/>
                <w:szCs w:val="21"/>
                <w:lang w:val="pl-PL"/>
              </w:rPr>
              <w:t>/inga.staszowska@ujk.edu.pl</w:t>
            </w:r>
          </w:p>
        </w:tc>
      </w:tr>
    </w:tbl>
    <w:p w14:paraId="0B8D28D5">
      <w:pPr>
        <w:numPr>
          <w:ilvl w:val="0"/>
          <w:numId w:val="1"/>
        </w:numPr>
        <w:spacing w:after="0" w:line="268" w:lineRule="auto"/>
        <w:ind w:hanging="360"/>
      </w:pPr>
      <w:r>
        <w:rPr>
          <w:b/>
          <w:sz w:val="24"/>
        </w:rPr>
        <w:t xml:space="preserve">Ogólna charakterystyka przedmiotu (zajęć) </w:t>
      </w:r>
    </w:p>
    <w:tbl>
      <w:tblPr>
        <w:tblStyle w:val="8"/>
        <w:tblW w:w="9749" w:type="dxa"/>
        <w:tblInd w:w="362" w:type="dxa"/>
        <w:tblLayout w:type="autofit"/>
        <w:tblCellMar>
          <w:top w:w="48" w:type="dxa"/>
          <w:left w:w="135" w:type="dxa"/>
          <w:bottom w:w="0" w:type="dxa"/>
          <w:right w:w="115" w:type="dxa"/>
        </w:tblCellMar>
      </w:tblPr>
      <w:tblGrid>
        <w:gridCol w:w="3469"/>
        <w:gridCol w:w="6280"/>
      </w:tblGrid>
      <w:tr w14:paraId="2D9D35B6">
        <w:tblPrEx>
          <w:tblCellMar>
            <w:top w:w="48" w:type="dxa"/>
            <w:left w:w="135" w:type="dxa"/>
            <w:bottom w:w="0" w:type="dxa"/>
            <w:right w:w="115" w:type="dxa"/>
          </w:tblCellMar>
        </w:tblPrEx>
        <w:trPr>
          <w:trHeight w:val="305" w:hRule="atLeast"/>
        </w:trPr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641D57">
            <w:pPr>
              <w:spacing w:after="0"/>
            </w:pPr>
            <w:r>
              <w:rPr>
                <w:b/>
                <w:sz w:val="21"/>
              </w:rPr>
              <w:t>2.1.</w:t>
            </w:r>
            <w:r>
              <w:rPr>
                <w:rFonts w:ascii="Arial" w:hAnsi="Arial" w:eastAsia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Język wykładowy </w:t>
            </w:r>
          </w:p>
        </w:tc>
        <w:tc>
          <w:tcPr>
            <w:tcW w:w="6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8C661A8">
            <w:pPr>
              <w:spacing w:after="0"/>
              <w:rPr>
                <w:sz w:val="21"/>
                <w:szCs w:val="21"/>
              </w:rPr>
            </w:pPr>
            <w:r>
              <w:rPr>
                <w:rFonts w:hint="default" w:ascii="Calibri" w:hAnsi="Calibri" w:eastAsia="Times New Roman" w:cs="Calibri"/>
                <w:sz w:val="21"/>
                <w:szCs w:val="21"/>
              </w:rPr>
              <w:t xml:space="preserve">polski </w:t>
            </w:r>
          </w:p>
        </w:tc>
      </w:tr>
      <w:tr w14:paraId="0CBB90A3">
        <w:tblPrEx>
          <w:tblCellMar>
            <w:top w:w="48" w:type="dxa"/>
            <w:left w:w="135" w:type="dxa"/>
            <w:bottom w:w="0" w:type="dxa"/>
            <w:right w:w="115" w:type="dxa"/>
          </w:tblCellMar>
        </w:tblPrEx>
        <w:trPr>
          <w:trHeight w:val="305" w:hRule="atLeast"/>
        </w:trPr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224C21">
            <w:pPr>
              <w:spacing w:after="0"/>
            </w:pPr>
            <w:r>
              <w:rPr>
                <w:b/>
                <w:sz w:val="21"/>
              </w:rPr>
              <w:t>2.2.</w:t>
            </w:r>
            <w:r>
              <w:rPr>
                <w:rFonts w:ascii="Arial" w:hAnsi="Arial" w:eastAsia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Wymagania wstępne </w:t>
            </w:r>
          </w:p>
        </w:tc>
        <w:tc>
          <w:tcPr>
            <w:tcW w:w="6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5CF4CA1">
            <w:pPr>
              <w:spacing w:after="0"/>
              <w:rPr>
                <w:sz w:val="21"/>
                <w:szCs w:val="21"/>
              </w:rPr>
            </w:pPr>
            <w:r>
              <w:rPr>
                <w:rFonts w:hint="default" w:ascii="Calibri" w:hAnsi="Calibri" w:eastAsia="Times New Roman" w:cs="Calibri"/>
                <w:sz w:val="21"/>
                <w:szCs w:val="21"/>
              </w:rPr>
              <w:t xml:space="preserve">brak </w:t>
            </w:r>
          </w:p>
        </w:tc>
      </w:tr>
    </w:tbl>
    <w:p w14:paraId="12A88706">
      <w:pPr>
        <w:numPr>
          <w:ilvl w:val="0"/>
          <w:numId w:val="1"/>
        </w:numPr>
        <w:spacing w:after="0" w:line="268" w:lineRule="auto"/>
        <w:ind w:hanging="360"/>
      </w:pPr>
      <w:r>
        <w:rPr>
          <w:b/>
          <w:sz w:val="24"/>
        </w:rPr>
        <w:t xml:space="preserve">Szczegółowa charakterystyka przedmiotu (zajęć) </w:t>
      </w:r>
    </w:p>
    <w:tbl>
      <w:tblPr>
        <w:tblStyle w:val="8"/>
        <w:tblW w:w="9749" w:type="dxa"/>
        <w:tblInd w:w="362" w:type="dxa"/>
        <w:tblLayout w:type="autofit"/>
        <w:tblCellMar>
          <w:top w:w="48" w:type="dxa"/>
          <w:left w:w="110" w:type="dxa"/>
          <w:bottom w:w="0" w:type="dxa"/>
          <w:right w:w="0" w:type="dxa"/>
        </w:tblCellMar>
      </w:tblPr>
      <w:tblGrid>
        <w:gridCol w:w="3467"/>
        <w:gridCol w:w="6282"/>
      </w:tblGrid>
      <w:tr w14:paraId="503A137B">
        <w:tblPrEx>
          <w:tblCellMar>
            <w:top w:w="48" w:type="dxa"/>
            <w:left w:w="11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3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50A16E">
            <w:pPr>
              <w:spacing w:after="0"/>
              <w:ind w:left="24"/>
            </w:pPr>
            <w:r>
              <w:rPr>
                <w:b/>
                <w:sz w:val="21"/>
              </w:rPr>
              <w:t>3.1.</w:t>
            </w:r>
            <w:r>
              <w:rPr>
                <w:rFonts w:ascii="Arial" w:hAnsi="Arial" w:eastAsia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Forma zajęć </w:t>
            </w:r>
          </w:p>
        </w:tc>
        <w:tc>
          <w:tcPr>
            <w:tcW w:w="6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4DF844">
            <w:pPr>
              <w:spacing w:after="0"/>
              <w:rPr>
                <w:rFonts w:hint="default"/>
                <w:lang w:val="pl-PL"/>
              </w:rPr>
            </w:pPr>
            <w:r>
              <w:rPr>
                <w:rFonts w:hint="default"/>
                <w:sz w:val="21"/>
                <w:lang w:val="pl-PL"/>
              </w:rPr>
              <w:t>Wykłady, ćwiczenia</w:t>
            </w:r>
          </w:p>
        </w:tc>
      </w:tr>
      <w:tr w14:paraId="37F2878F">
        <w:tblPrEx>
          <w:tblCellMar>
            <w:top w:w="48" w:type="dxa"/>
            <w:left w:w="11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3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0A3A29">
            <w:pPr>
              <w:spacing w:after="0"/>
              <w:ind w:left="24"/>
            </w:pPr>
            <w:r>
              <w:rPr>
                <w:b/>
                <w:sz w:val="21"/>
              </w:rPr>
              <w:t>3.2.</w:t>
            </w:r>
            <w:r>
              <w:rPr>
                <w:rFonts w:ascii="Arial" w:hAnsi="Arial" w:eastAsia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Miejsce realizacji zajęć </w:t>
            </w:r>
          </w:p>
        </w:tc>
        <w:tc>
          <w:tcPr>
            <w:tcW w:w="6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66626FD">
            <w:pPr>
              <w:spacing w:after="0"/>
              <w:rPr>
                <w:sz w:val="21"/>
                <w:szCs w:val="21"/>
              </w:rPr>
            </w:pPr>
            <w:r>
              <w:rPr>
                <w:rFonts w:hint="default" w:ascii="Calibri" w:hAnsi="Calibri" w:eastAsia="Times New Roman" w:cs="Calibri"/>
                <w:sz w:val="21"/>
                <w:szCs w:val="21"/>
              </w:rPr>
              <w:t xml:space="preserve">Pomieszczenia dydaktyczne UJK / instytucje, w których realizowana jest działalność z obszaru pracy socjalnej i pomocy społecznej </w:t>
            </w:r>
          </w:p>
        </w:tc>
      </w:tr>
      <w:tr w14:paraId="507D78D9">
        <w:tblPrEx>
          <w:tblCellMar>
            <w:top w:w="48" w:type="dxa"/>
            <w:left w:w="11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3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475602">
            <w:pPr>
              <w:spacing w:after="0"/>
              <w:ind w:left="24"/>
            </w:pPr>
            <w:r>
              <w:rPr>
                <w:b/>
                <w:sz w:val="21"/>
              </w:rPr>
              <w:t>3.3.</w:t>
            </w:r>
            <w:r>
              <w:rPr>
                <w:rFonts w:ascii="Arial" w:hAnsi="Arial" w:eastAsia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Forma zaliczenia zajęć </w:t>
            </w:r>
          </w:p>
        </w:tc>
        <w:tc>
          <w:tcPr>
            <w:tcW w:w="6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1BB7B7E">
            <w:pPr>
              <w:spacing w:after="0"/>
              <w:ind w:left="106" w:leftChars="0"/>
              <w:rPr>
                <w:sz w:val="21"/>
                <w:szCs w:val="21"/>
              </w:rPr>
            </w:pPr>
            <w:r>
              <w:rPr>
                <w:rFonts w:hint="default" w:eastAsia="Times New Roman" w:cs="Calibri"/>
                <w:sz w:val="21"/>
                <w:szCs w:val="21"/>
                <w:lang w:val="pl-PL"/>
              </w:rPr>
              <w:t>z</w:t>
            </w:r>
            <w:r>
              <w:rPr>
                <w:rFonts w:hint="default" w:ascii="Calibri" w:hAnsi="Calibri" w:eastAsia="Times New Roman" w:cs="Calibri"/>
                <w:sz w:val="21"/>
                <w:szCs w:val="21"/>
              </w:rPr>
              <w:t xml:space="preserve">aliczenie z oceną </w:t>
            </w:r>
          </w:p>
        </w:tc>
      </w:tr>
      <w:tr w14:paraId="11F57F45">
        <w:tblPrEx>
          <w:tblCellMar>
            <w:top w:w="48" w:type="dxa"/>
            <w:left w:w="11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3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920222">
            <w:pPr>
              <w:spacing w:after="0"/>
              <w:ind w:left="24"/>
            </w:pPr>
            <w:r>
              <w:rPr>
                <w:b/>
                <w:sz w:val="21"/>
              </w:rPr>
              <w:t>3.4.</w:t>
            </w:r>
            <w:r>
              <w:rPr>
                <w:rFonts w:ascii="Arial" w:hAnsi="Arial" w:eastAsia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Metody dydaktyczne </w:t>
            </w:r>
          </w:p>
        </w:tc>
        <w:tc>
          <w:tcPr>
            <w:tcW w:w="6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16F8B2F">
            <w:pPr>
              <w:spacing w:after="36" w:line="260" w:lineRule="auto"/>
              <w:ind w:left="106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eastAsia="Times New Roman" w:cs="Calibri"/>
                <w:b/>
                <w:sz w:val="21"/>
                <w:szCs w:val="21"/>
              </w:rPr>
              <w:t>Wykład:</w:t>
            </w:r>
            <w:r>
              <w:rPr>
                <w:rFonts w:hint="default" w:ascii="Calibri" w:hAnsi="Calibri" w:eastAsia="Times New Roman" w:cs="Calibri"/>
                <w:sz w:val="21"/>
                <w:szCs w:val="21"/>
              </w:rPr>
              <w:t xml:space="preserve"> wykład informacyjny (WI)(przekazywanie usystematyzowanych informacji wraz z kluczami pojęć), wykład problemowy (WP), wykład konwersatoryjny </w:t>
            </w:r>
          </w:p>
          <w:p w14:paraId="29D3345C">
            <w:pPr>
              <w:spacing w:after="0"/>
              <w:ind w:left="106" w:leftChars="0"/>
              <w:rPr>
                <w:sz w:val="21"/>
                <w:szCs w:val="21"/>
              </w:rPr>
            </w:pPr>
            <w:r>
              <w:rPr>
                <w:rFonts w:hint="default" w:ascii="Calibri" w:hAnsi="Calibri" w:eastAsia="Times New Roman" w:cs="Calibri"/>
                <w:b/>
                <w:sz w:val="21"/>
                <w:szCs w:val="21"/>
              </w:rPr>
              <w:t xml:space="preserve">Ćwiczenia: </w:t>
            </w:r>
            <w:r>
              <w:rPr>
                <w:rFonts w:hint="default" w:ascii="Calibri" w:hAnsi="Calibri" w:eastAsia="Times New Roman" w:cs="Calibri"/>
                <w:sz w:val="21"/>
                <w:szCs w:val="21"/>
              </w:rPr>
              <w:t xml:space="preserve">dyskusja wielokrotna (grupowa), (DG), </w:t>
            </w:r>
            <w:r>
              <w:rPr>
                <w:rFonts w:hint="default" w:ascii="Calibri" w:hAnsi="Calibri" w:eastAsia="Times New Roman" w:cs="Calibri"/>
                <w:b/>
                <w:sz w:val="21"/>
                <w:szCs w:val="21"/>
              </w:rPr>
              <w:t xml:space="preserve"> </w:t>
            </w:r>
            <w:r>
              <w:rPr>
                <w:rFonts w:hint="default" w:ascii="Calibri" w:hAnsi="Calibri" w:eastAsia="Times New Roman" w:cs="Calibri"/>
                <w:sz w:val="21"/>
                <w:szCs w:val="21"/>
              </w:rPr>
              <w:t xml:space="preserve">(dyskusja </w:t>
            </w:r>
            <w:r>
              <w:rPr>
                <w:rFonts w:hint="default" w:ascii="Calibri" w:hAnsi="Calibri" w:eastAsia="Yu Gothic UI" w:cs="Calibri"/>
                <w:sz w:val="21"/>
                <w:szCs w:val="21"/>
              </w:rPr>
              <w:t>–</w:t>
            </w:r>
            <w:r>
              <w:rPr>
                <w:rFonts w:hint="default" w:ascii="Calibri" w:hAnsi="Calibri" w:eastAsia="Times New Roman" w:cs="Calibri"/>
                <w:sz w:val="21"/>
                <w:szCs w:val="21"/>
              </w:rPr>
              <w:t xml:space="preserve"> burza mózgów (BM),  </w:t>
            </w:r>
            <w:r>
              <w:rPr>
                <w:rFonts w:hint="default" w:ascii="Calibri" w:hAnsi="Calibri" w:eastAsia="Times New Roman" w:cs="Calibri"/>
                <w:b/>
                <w:sz w:val="21"/>
                <w:szCs w:val="21"/>
              </w:rPr>
              <w:t xml:space="preserve"> </w:t>
            </w:r>
            <w:r>
              <w:rPr>
                <w:rFonts w:hint="default" w:ascii="Calibri" w:hAnsi="Calibri" w:eastAsia="Times New Roman" w:cs="Calibri"/>
                <w:sz w:val="21"/>
                <w:szCs w:val="21"/>
              </w:rPr>
              <w:t xml:space="preserve">film (FL), zajęcie praktyczne </w:t>
            </w:r>
          </w:p>
        </w:tc>
      </w:tr>
      <w:tr w14:paraId="4AF5EF20">
        <w:tblPrEx>
          <w:tblCellMar>
            <w:top w:w="48" w:type="dxa"/>
            <w:left w:w="11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3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203BDB">
            <w:pPr>
              <w:spacing w:after="0"/>
              <w:ind w:left="24"/>
            </w:pPr>
            <w:r>
              <w:rPr>
                <w:b/>
                <w:sz w:val="21"/>
              </w:rPr>
              <w:t xml:space="preserve">3.5.a. Wykaz literatury podstawowej </w:t>
            </w:r>
          </w:p>
        </w:tc>
        <w:tc>
          <w:tcPr>
            <w:tcW w:w="6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EDE3BF">
            <w:pPr>
              <w:numPr>
                <w:ilvl w:val="0"/>
                <w:numId w:val="0"/>
              </w:numPr>
              <w:spacing w:after="0"/>
              <w:rPr>
                <w:rFonts w:hint="default"/>
                <w:sz w:val="21"/>
              </w:rPr>
            </w:pPr>
            <w:r>
              <w:rPr>
                <w:rFonts w:hint="default"/>
                <w:sz w:val="21"/>
                <w:lang w:val="pl-PL"/>
              </w:rPr>
              <w:t xml:space="preserve">1. </w:t>
            </w:r>
            <w:r>
              <w:rPr>
                <w:rFonts w:hint="default"/>
                <w:sz w:val="21"/>
              </w:rPr>
              <w:t>Hołys</w:t>
            </w:r>
            <w:r>
              <w:rPr>
                <w:rFonts w:hint="default"/>
                <w:sz w:val="21"/>
                <w:lang w:val="pl-PL"/>
              </w:rPr>
              <w:t>t</w:t>
            </w:r>
            <w:r>
              <w:rPr>
                <w:rFonts w:hint="default"/>
                <w:sz w:val="21"/>
              </w:rPr>
              <w:t>, B.</w:t>
            </w:r>
            <w:r>
              <w:rPr>
                <w:rFonts w:hint="default"/>
                <w:sz w:val="21"/>
                <w:lang w:val="pl-PL"/>
              </w:rPr>
              <w:t xml:space="preserve"> (2023). S</w:t>
            </w:r>
            <w:r>
              <w:rPr>
                <w:rFonts w:hint="default"/>
                <w:sz w:val="21"/>
              </w:rPr>
              <w:t xml:space="preserve">uicydologia. Wydanie 3. Wolters Kluwer. </w:t>
            </w:r>
          </w:p>
          <w:p w14:paraId="0F3F5B91">
            <w:pPr>
              <w:numPr>
                <w:ilvl w:val="0"/>
                <w:numId w:val="0"/>
              </w:numPr>
              <w:spacing w:after="0"/>
              <w:rPr>
                <w:rFonts w:hint="default"/>
                <w:sz w:val="21"/>
                <w:lang w:val="pl-PL"/>
              </w:rPr>
            </w:pPr>
            <w:r>
              <w:rPr>
                <w:rFonts w:hint="default"/>
                <w:sz w:val="21"/>
                <w:lang w:val="pl-PL"/>
              </w:rPr>
              <w:t>2. Hołyst, B. (red). (2022). Zapobieganie samobójstwom. Tom 2. Zachowania suicydalne osób starszych. Difin.</w:t>
            </w:r>
          </w:p>
          <w:p w14:paraId="1567AB4A">
            <w:pPr>
              <w:numPr>
                <w:ilvl w:val="0"/>
                <w:numId w:val="0"/>
              </w:numPr>
              <w:spacing w:after="0"/>
              <w:rPr>
                <w:rFonts w:hint="default"/>
                <w:sz w:val="21"/>
                <w:lang w:val="pl-PL"/>
              </w:rPr>
            </w:pPr>
            <w:r>
              <w:rPr>
                <w:rFonts w:hint="default"/>
                <w:sz w:val="21"/>
                <w:lang w:val="pl-PL"/>
              </w:rPr>
              <w:t>3. Hołyst, B. (red). (2023). Zapobieganie samobójstwom. Tom 3. Zachowania suicydalne dzieci i młodzieży. Difin.</w:t>
            </w:r>
          </w:p>
          <w:p w14:paraId="5BCD6D90">
            <w:pPr>
              <w:numPr>
                <w:ilvl w:val="0"/>
                <w:numId w:val="0"/>
              </w:numPr>
              <w:spacing w:after="0"/>
              <w:rPr>
                <w:rFonts w:hint="default"/>
                <w:sz w:val="21"/>
                <w:lang w:val="pl-PL"/>
              </w:rPr>
            </w:pPr>
            <w:r>
              <w:rPr>
                <w:rFonts w:hint="default"/>
                <w:sz w:val="21"/>
                <w:lang w:val="pl-PL"/>
              </w:rPr>
              <w:t>4. Witkowska, H., Rudnicka, E. (2023). Nikt nie chce umierać. Autodestrukcja w perspektywie kulturowej. Wydawnictwo Uniwersytetu Warszawskiego.</w:t>
            </w:r>
          </w:p>
          <w:p w14:paraId="79A50677">
            <w:pPr>
              <w:numPr>
                <w:ilvl w:val="0"/>
                <w:numId w:val="0"/>
              </w:numPr>
              <w:spacing w:after="0"/>
              <w:rPr>
                <w:rFonts w:hint="default"/>
                <w:sz w:val="21"/>
                <w:lang w:val="pl-PL"/>
              </w:rPr>
            </w:pPr>
            <w:r>
              <w:rPr>
                <w:rFonts w:hint="default"/>
                <w:sz w:val="21"/>
                <w:lang w:val="pl-PL"/>
              </w:rPr>
              <w:t xml:space="preserve">5. </w:t>
            </w:r>
            <w:r>
              <w:rPr>
                <w:rFonts w:hint="default"/>
                <w:sz w:val="21"/>
              </w:rPr>
              <w:t>Zwoliński</w:t>
            </w:r>
            <w:r>
              <w:rPr>
                <w:rFonts w:hint="default"/>
                <w:sz w:val="21"/>
                <w:lang w:val="pl-PL"/>
              </w:rPr>
              <w:t xml:space="preserve">, </w:t>
            </w:r>
            <w:r>
              <w:rPr>
                <w:rFonts w:hint="default"/>
                <w:sz w:val="21"/>
              </w:rPr>
              <w:t>A. (2013), Samobójstwo jako problem osobisty i publiczny. Wydawnictwo WAM</w:t>
            </w:r>
            <w:r>
              <w:rPr>
                <w:rFonts w:hint="default"/>
                <w:sz w:val="21"/>
                <w:lang w:val="pl-PL"/>
              </w:rPr>
              <w:t>.</w:t>
            </w:r>
          </w:p>
          <w:p w14:paraId="2E0F659C">
            <w:pPr>
              <w:numPr>
                <w:ilvl w:val="0"/>
                <w:numId w:val="0"/>
              </w:numPr>
              <w:spacing w:after="0"/>
              <w:rPr>
                <w:rFonts w:hint="default"/>
                <w:sz w:val="21"/>
                <w:lang w:val="pl-PL"/>
              </w:rPr>
            </w:pPr>
            <w:r>
              <w:rPr>
                <w:rFonts w:hint="default"/>
                <w:sz w:val="21"/>
                <w:lang w:val="pl-PL"/>
              </w:rPr>
              <w:t>6. Aktualne akty prawne.</w:t>
            </w:r>
          </w:p>
        </w:tc>
      </w:tr>
      <w:tr w14:paraId="0A5E1DD2">
        <w:tblPrEx>
          <w:tblCellMar>
            <w:top w:w="48" w:type="dxa"/>
            <w:left w:w="11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3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E38E0B">
            <w:pPr>
              <w:spacing w:after="0"/>
              <w:ind w:left="24"/>
            </w:pPr>
            <w:r>
              <w:rPr>
                <w:b/>
                <w:sz w:val="21"/>
              </w:rPr>
              <w:t xml:space="preserve">3.5.b. Wykaz literatury uzupełniającej </w:t>
            </w:r>
          </w:p>
        </w:tc>
        <w:tc>
          <w:tcPr>
            <w:tcW w:w="6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CD19A8">
            <w:pPr>
              <w:spacing w:after="0"/>
              <w:rPr>
                <w:rFonts w:hint="default"/>
                <w:sz w:val="21"/>
              </w:rPr>
            </w:pPr>
            <w:r>
              <w:rPr>
                <w:rFonts w:hint="default"/>
                <w:sz w:val="21"/>
                <w:lang w:val="pl-PL"/>
              </w:rPr>
              <w:t xml:space="preserve">1. </w:t>
            </w:r>
            <w:r>
              <w:rPr>
                <w:sz w:val="21"/>
              </w:rPr>
              <w:t xml:space="preserve"> </w:t>
            </w:r>
            <w:r>
              <w:rPr>
                <w:rFonts w:hint="default"/>
                <w:sz w:val="21"/>
              </w:rPr>
              <w:t>Domańska J. (2017)</w:t>
            </w:r>
            <w:r>
              <w:rPr>
                <w:rFonts w:hint="default"/>
                <w:sz w:val="21"/>
                <w:lang w:val="pl-PL"/>
              </w:rPr>
              <w:t>.</w:t>
            </w:r>
            <w:r>
              <w:rPr>
                <w:rFonts w:hint="default"/>
                <w:sz w:val="21"/>
              </w:rPr>
              <w:t xml:space="preserve"> Teoretyczne aspekty zjawiska samobójstw</w:t>
            </w:r>
            <w:r>
              <w:rPr>
                <w:rFonts w:hint="default"/>
                <w:sz w:val="21"/>
                <w:lang w:val="pl-PL"/>
              </w:rPr>
              <w:t>.</w:t>
            </w:r>
            <w:r>
              <w:rPr>
                <w:rFonts w:hint="default"/>
                <w:sz w:val="21"/>
              </w:rPr>
              <w:t xml:space="preserve"> Prace naukowe Akademii im. Jana Długosza w Częstochowie, t. 26, nr 2, s. 187-201.</w:t>
            </w:r>
          </w:p>
          <w:p w14:paraId="3905FCC3">
            <w:pPr>
              <w:spacing w:after="0"/>
              <w:rPr>
                <w:rFonts w:hint="default"/>
                <w:sz w:val="21"/>
              </w:rPr>
            </w:pPr>
            <w:r>
              <w:rPr>
                <w:rFonts w:hint="default"/>
                <w:sz w:val="21"/>
                <w:lang w:val="pl-PL"/>
              </w:rPr>
              <w:t xml:space="preserve">2. </w:t>
            </w:r>
            <w:r>
              <w:rPr>
                <w:rFonts w:hint="default"/>
                <w:sz w:val="21"/>
              </w:rPr>
              <w:t>Hołys</w:t>
            </w:r>
            <w:r>
              <w:rPr>
                <w:rFonts w:hint="default"/>
                <w:sz w:val="21"/>
                <w:lang w:val="pl-PL"/>
              </w:rPr>
              <w:t>t</w:t>
            </w:r>
            <w:r>
              <w:rPr>
                <w:rFonts w:hint="default"/>
                <w:sz w:val="21"/>
              </w:rPr>
              <w:t>, B.</w:t>
            </w:r>
            <w:r>
              <w:rPr>
                <w:rFonts w:hint="default"/>
                <w:sz w:val="21"/>
                <w:lang w:val="pl-PL"/>
              </w:rPr>
              <w:t xml:space="preserve"> (red.).  (2021). </w:t>
            </w:r>
            <w:r>
              <w:rPr>
                <w:rFonts w:hint="default"/>
                <w:sz w:val="21"/>
              </w:rPr>
              <w:t>Zapobieganie samobójstwom</w:t>
            </w:r>
            <w:r>
              <w:rPr>
                <w:rFonts w:hint="default"/>
                <w:sz w:val="21"/>
                <w:lang w:val="pl-PL"/>
              </w:rPr>
              <w:t>. Tom 1.</w:t>
            </w:r>
            <w:r>
              <w:rPr>
                <w:rFonts w:hint="default"/>
                <w:sz w:val="21"/>
              </w:rPr>
              <w:t xml:space="preserve"> Motywacja zachowań samobójczych. </w:t>
            </w:r>
          </w:p>
          <w:p w14:paraId="7DE15072">
            <w:pPr>
              <w:spacing w:after="0"/>
              <w:rPr>
                <w:rFonts w:hint="default"/>
                <w:sz w:val="21"/>
                <w:lang w:val="pl-PL"/>
              </w:rPr>
            </w:pPr>
            <w:r>
              <w:rPr>
                <w:rFonts w:hint="default"/>
                <w:sz w:val="21"/>
                <w:lang w:val="pl-PL"/>
              </w:rPr>
              <w:t xml:space="preserve">3. </w:t>
            </w:r>
            <w:r>
              <w:rPr>
                <w:rFonts w:hint="default"/>
                <w:sz w:val="21"/>
              </w:rPr>
              <w:t>Kubacka-Jasiecka, D., Kuleta-Krzyszkowiak, M.</w:t>
            </w:r>
            <w:r>
              <w:rPr>
                <w:rFonts w:hint="default"/>
                <w:sz w:val="21"/>
                <w:lang w:val="pl-PL"/>
              </w:rPr>
              <w:t xml:space="preserve"> (2022).</w:t>
            </w:r>
            <w:r>
              <w:rPr>
                <w:rFonts w:hint="default"/>
                <w:sz w:val="21"/>
              </w:rPr>
              <w:t xml:space="preserve"> Od psychologii kryzysu do interwencji kryzysowej i środowiskowej. Wydawnictwo Adam Marszałek</w:t>
            </w:r>
            <w:r>
              <w:rPr>
                <w:rFonts w:hint="default"/>
                <w:sz w:val="21"/>
                <w:lang w:val="pl-PL"/>
              </w:rPr>
              <w:t>.</w:t>
            </w:r>
          </w:p>
        </w:tc>
      </w:tr>
    </w:tbl>
    <w:p w14:paraId="57AAC852">
      <w:pPr>
        <w:numPr>
          <w:ilvl w:val="0"/>
          <w:numId w:val="1"/>
        </w:numPr>
        <w:spacing w:after="133" w:line="268" w:lineRule="auto"/>
        <w:ind w:hanging="360"/>
      </w:pPr>
      <w:r>
        <w:rPr>
          <w:b/>
          <w:sz w:val="24"/>
        </w:rPr>
        <w:t xml:space="preserve">Cele, treści i efekty uczenia się </w:t>
      </w:r>
    </w:p>
    <w:p w14:paraId="4DD3D31F">
      <w:pPr>
        <w:numPr>
          <w:ilvl w:val="1"/>
          <w:numId w:val="1"/>
        </w:numPr>
        <w:spacing w:after="0" w:line="268" w:lineRule="auto"/>
        <w:ind w:hanging="566"/>
      </w:pPr>
      <w:r>
        <w:rPr>
          <w:b/>
          <w:sz w:val="24"/>
        </w:rPr>
        <w:t xml:space="preserve">Cele przedmiotu (zajęć) </w:t>
      </w:r>
    </w:p>
    <w:p w14:paraId="21C7666A">
      <w:pPr>
        <w:numPr>
          <w:ilvl w:val="0"/>
          <w:numId w:val="0"/>
        </w:numPr>
        <w:spacing w:after="0" w:line="268" w:lineRule="auto"/>
        <w:ind w:left="552" w:leftChars="0" w:firstLine="120" w:firstLineChars="50"/>
        <w:rPr>
          <w:rFonts w:hint="default"/>
          <w:b/>
          <w:sz w:val="24"/>
        </w:rPr>
      </w:pPr>
      <w:r>
        <w:rPr>
          <w:rFonts w:hint="default"/>
          <w:b/>
          <w:sz w:val="24"/>
        </w:rPr>
        <w:t xml:space="preserve">Wykład: </w:t>
      </w:r>
    </w:p>
    <w:p w14:paraId="13818163">
      <w:pPr>
        <w:numPr>
          <w:ilvl w:val="2"/>
          <w:numId w:val="1"/>
        </w:numPr>
        <w:spacing w:after="23"/>
        <w:ind w:hanging="286"/>
        <w:rPr>
          <w:rFonts w:hint="default"/>
          <w:b/>
          <w:sz w:val="24"/>
        </w:rPr>
      </w:pPr>
      <w:r>
        <w:rPr>
          <w:rFonts w:hint="default"/>
          <w:b/>
          <w:sz w:val="24"/>
        </w:rPr>
        <w:t xml:space="preserve">C1. </w:t>
      </w:r>
      <w:r>
        <w:rPr>
          <w:rFonts w:hint="default"/>
          <w:b w:val="0"/>
          <w:bCs/>
          <w:sz w:val="24"/>
        </w:rPr>
        <w:t xml:space="preserve">Zdobycie wiedzy z zakresu podstaw funkcjonowania systemu pomocy społecznej, jak i działań z obszaru pracy socjalnej. </w:t>
      </w:r>
    </w:p>
    <w:p w14:paraId="7E5DDAAB">
      <w:pPr>
        <w:numPr>
          <w:ilvl w:val="2"/>
          <w:numId w:val="1"/>
        </w:numPr>
        <w:spacing w:after="23"/>
        <w:ind w:hanging="286"/>
        <w:rPr>
          <w:rFonts w:hint="default"/>
          <w:b/>
          <w:sz w:val="24"/>
        </w:rPr>
      </w:pPr>
      <w:r>
        <w:rPr>
          <w:rFonts w:hint="default"/>
          <w:b/>
          <w:sz w:val="24"/>
        </w:rPr>
        <w:t xml:space="preserve">C2. </w:t>
      </w:r>
      <w:r>
        <w:rPr>
          <w:rFonts w:hint="default"/>
          <w:b w:val="0"/>
          <w:bCs/>
          <w:sz w:val="24"/>
        </w:rPr>
        <w:t>Poznanie genezy, zasad i celów pomocy społecznej oraz roli pracownika socjalnego.</w:t>
      </w:r>
      <w:r>
        <w:rPr>
          <w:rFonts w:hint="default"/>
          <w:b/>
          <w:sz w:val="24"/>
        </w:rPr>
        <w:t xml:space="preserve"> </w:t>
      </w:r>
    </w:p>
    <w:p w14:paraId="37FF7C21">
      <w:pPr>
        <w:numPr>
          <w:ilvl w:val="2"/>
          <w:numId w:val="1"/>
        </w:numPr>
        <w:spacing w:after="23"/>
        <w:ind w:hanging="286"/>
        <w:rPr>
          <w:rFonts w:hint="default"/>
          <w:b/>
          <w:sz w:val="24"/>
        </w:rPr>
      </w:pPr>
      <w:r>
        <w:rPr>
          <w:rFonts w:hint="default"/>
          <w:b/>
          <w:sz w:val="24"/>
        </w:rPr>
        <w:t xml:space="preserve">C3. </w:t>
      </w:r>
      <w:r>
        <w:rPr>
          <w:rFonts w:hint="default"/>
          <w:b w:val="0"/>
          <w:bCs/>
          <w:sz w:val="24"/>
        </w:rPr>
        <w:t xml:space="preserve">Zdobycie wiedzy z zakresu instytucjonalnych i pozainstytucjonalnych rozwiązań na rzecz osób i grup doświadczających trudności na różnych obszarach życia. </w:t>
      </w:r>
    </w:p>
    <w:p w14:paraId="5613BB30">
      <w:pPr>
        <w:numPr>
          <w:ilvl w:val="0"/>
          <w:numId w:val="0"/>
        </w:numPr>
        <w:spacing w:after="23"/>
        <w:ind w:firstLine="708" w:firstLineChars="0"/>
        <w:rPr>
          <w:rFonts w:hint="default"/>
          <w:b/>
          <w:sz w:val="24"/>
        </w:rPr>
      </w:pPr>
      <w:r>
        <w:rPr>
          <w:rFonts w:hint="default"/>
          <w:b/>
          <w:sz w:val="24"/>
        </w:rPr>
        <w:t xml:space="preserve">Ćwiczenia: </w:t>
      </w:r>
    </w:p>
    <w:p w14:paraId="04C0A422">
      <w:pPr>
        <w:numPr>
          <w:ilvl w:val="2"/>
          <w:numId w:val="1"/>
        </w:numPr>
        <w:spacing w:after="23"/>
        <w:ind w:hanging="286"/>
        <w:rPr>
          <w:rFonts w:hint="default"/>
          <w:b/>
          <w:sz w:val="24"/>
        </w:rPr>
      </w:pPr>
      <w:r>
        <w:rPr>
          <w:rFonts w:hint="default"/>
          <w:b/>
          <w:sz w:val="24"/>
        </w:rPr>
        <w:t xml:space="preserve">C1. </w:t>
      </w:r>
      <w:r>
        <w:rPr>
          <w:rFonts w:hint="default"/>
          <w:b w:val="0"/>
          <w:bCs/>
          <w:sz w:val="24"/>
        </w:rPr>
        <w:t xml:space="preserve">Zdobycie umiejętności prawidłowej identyfikacji współczesnych problemów i kwestii społecznych, przy jednoczesnej świadomości możliwości działań na gruncie pomocowym w niniejszych obszarach. </w:t>
      </w:r>
    </w:p>
    <w:p w14:paraId="40211A50">
      <w:pPr>
        <w:numPr>
          <w:ilvl w:val="2"/>
          <w:numId w:val="1"/>
        </w:numPr>
        <w:spacing w:after="23"/>
        <w:ind w:hanging="286"/>
      </w:pPr>
      <w:r>
        <w:rPr>
          <w:rFonts w:hint="default"/>
          <w:b/>
          <w:sz w:val="24"/>
        </w:rPr>
        <w:t xml:space="preserve">C2. </w:t>
      </w:r>
      <w:r>
        <w:rPr>
          <w:rFonts w:hint="default"/>
          <w:b w:val="0"/>
          <w:bCs/>
          <w:sz w:val="24"/>
        </w:rPr>
        <w:t xml:space="preserve">Poznanie metod i narzędzi właściwych dla pracy socjalnej i ich znaczenia w systemie pomocy społecznej. </w:t>
      </w:r>
    </w:p>
    <w:p w14:paraId="7DE85205">
      <w:pPr>
        <w:numPr>
          <w:ilvl w:val="2"/>
          <w:numId w:val="1"/>
        </w:numPr>
        <w:spacing w:after="23"/>
        <w:ind w:hanging="286"/>
      </w:pPr>
      <w:r>
        <w:rPr>
          <w:rFonts w:hint="default"/>
          <w:b/>
          <w:sz w:val="24"/>
        </w:rPr>
        <w:t xml:space="preserve">C3. </w:t>
      </w:r>
      <w:r>
        <w:rPr>
          <w:rFonts w:hint="default"/>
          <w:b w:val="0"/>
          <w:bCs/>
          <w:sz w:val="24"/>
        </w:rPr>
        <w:t xml:space="preserve">Prawidłowe korzystanie z aktów prawnych, determinujących możliwości na gruncie pomocy społecznej i pracy socjalnej.  </w:t>
      </w:r>
      <w:r>
        <w:rPr>
          <w:rFonts w:hint="default"/>
          <w:b/>
          <w:sz w:val="24"/>
        </w:rPr>
        <w:t xml:space="preserve"> </w:t>
      </w:r>
    </w:p>
    <w:p w14:paraId="2A575013">
      <w:pPr>
        <w:numPr>
          <w:ilvl w:val="0"/>
          <w:numId w:val="0"/>
        </w:numPr>
        <w:spacing w:after="23"/>
        <w:ind w:left="693" w:leftChars="0"/>
      </w:pPr>
    </w:p>
    <w:p w14:paraId="549F750A">
      <w:pPr>
        <w:numPr>
          <w:ilvl w:val="1"/>
          <w:numId w:val="1"/>
        </w:numPr>
        <w:spacing w:after="134" w:line="268" w:lineRule="auto"/>
        <w:ind w:hanging="566"/>
      </w:pPr>
      <w:r>
        <w:rPr>
          <w:b/>
          <w:sz w:val="24"/>
        </w:rPr>
        <w:t xml:space="preserve">Treści programowe (z uwzględnieniem formy zajęć) </w:t>
      </w:r>
    </w:p>
    <w:p w14:paraId="0459D7C7">
      <w:pPr>
        <w:spacing w:after="0" w:line="268" w:lineRule="auto"/>
        <w:ind w:left="562" w:hanging="10"/>
        <w:rPr>
          <w:sz w:val="24"/>
          <w:szCs w:val="24"/>
        </w:rPr>
      </w:pPr>
      <w:r>
        <w:rPr>
          <w:b/>
          <w:sz w:val="24"/>
          <w:szCs w:val="24"/>
        </w:rPr>
        <w:t xml:space="preserve">Wykłady </w:t>
      </w:r>
    </w:p>
    <w:p w14:paraId="29E00696">
      <w:pPr>
        <w:numPr>
          <w:ilvl w:val="0"/>
          <w:numId w:val="2"/>
        </w:numPr>
        <w:spacing w:after="141"/>
        <w:ind w:left="693" w:leftChars="0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Zapoznanie z kartą przedmiotu</w:t>
      </w:r>
      <w:r>
        <w:rPr>
          <w:rFonts w:hint="default"/>
          <w:sz w:val="24"/>
          <w:szCs w:val="24"/>
          <w:lang w:val="pl-PL"/>
        </w:rPr>
        <w:t xml:space="preserve"> </w:t>
      </w:r>
      <w:r>
        <w:rPr>
          <w:rFonts w:hint="default"/>
          <w:sz w:val="24"/>
          <w:szCs w:val="24"/>
        </w:rPr>
        <w:t xml:space="preserve">oraz warunkami zaliczenia. </w:t>
      </w:r>
    </w:p>
    <w:p w14:paraId="699C831B">
      <w:pPr>
        <w:numPr>
          <w:ilvl w:val="2"/>
          <w:numId w:val="3"/>
        </w:numPr>
        <w:spacing w:after="141"/>
        <w:ind w:hanging="286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 xml:space="preserve">Wprowadzenie do suicydologii: definicje, historia, znaczenie w pracy socjalnej. </w:t>
      </w:r>
    </w:p>
    <w:p w14:paraId="407DB695">
      <w:pPr>
        <w:numPr>
          <w:ilvl w:val="2"/>
          <w:numId w:val="3"/>
        </w:numPr>
        <w:spacing w:after="141"/>
        <w:ind w:hanging="286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Koncepcja Brunona Hołysta w zakresie etiologii zachowań suicydalnych</w:t>
      </w:r>
      <w:r>
        <w:rPr>
          <w:rFonts w:hint="default"/>
          <w:sz w:val="24"/>
          <w:szCs w:val="24"/>
          <w:lang w:val="pl-PL"/>
        </w:rPr>
        <w:t>.</w:t>
      </w:r>
      <w:r>
        <w:rPr>
          <w:rFonts w:hint="default"/>
          <w:sz w:val="24"/>
          <w:szCs w:val="24"/>
        </w:rPr>
        <w:t xml:space="preserve"> </w:t>
      </w:r>
    </w:p>
    <w:p w14:paraId="0E066EE7">
      <w:pPr>
        <w:numPr>
          <w:ilvl w:val="2"/>
          <w:numId w:val="3"/>
        </w:numPr>
        <w:spacing w:after="141"/>
        <w:ind w:hanging="286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 xml:space="preserve">Wybrane teorie samobójstwa: psychologiczne, socjologiczne, biologiczne. </w:t>
      </w:r>
    </w:p>
    <w:p w14:paraId="70ECD1D3">
      <w:pPr>
        <w:numPr>
          <w:ilvl w:val="2"/>
          <w:numId w:val="3"/>
        </w:numPr>
        <w:spacing w:after="141"/>
        <w:ind w:hanging="286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Przegląd danych dotyczących samobójstw w Polsce</w:t>
      </w:r>
      <w:r>
        <w:rPr>
          <w:rFonts w:hint="default"/>
          <w:sz w:val="24"/>
          <w:szCs w:val="24"/>
          <w:lang w:val="pl-PL"/>
        </w:rPr>
        <w:t xml:space="preserve"> - analiza raportów i artykułów naukowych w tym zakresie. </w:t>
      </w:r>
    </w:p>
    <w:p w14:paraId="37E1C465">
      <w:pPr>
        <w:numPr>
          <w:ilvl w:val="2"/>
          <w:numId w:val="3"/>
        </w:numPr>
        <w:spacing w:after="141"/>
        <w:ind w:hanging="286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„Nic nie zapowiad</w:t>
      </w:r>
      <w:r>
        <w:rPr>
          <w:rFonts w:hint="default"/>
          <w:sz w:val="24"/>
          <w:szCs w:val="24"/>
          <w:lang w:val="pl-PL"/>
        </w:rPr>
        <w:t>ał</w:t>
      </w:r>
      <w:r>
        <w:rPr>
          <w:rFonts w:hint="default"/>
          <w:sz w:val="24"/>
          <w:szCs w:val="24"/>
        </w:rPr>
        <w:t xml:space="preserve">o, że..” </w:t>
      </w:r>
      <w:r>
        <w:rPr>
          <w:rFonts w:hint="default"/>
          <w:sz w:val="24"/>
          <w:szCs w:val="24"/>
          <w:lang w:val="pl-PL"/>
        </w:rPr>
        <w:t>-</w:t>
      </w:r>
      <w:r>
        <w:rPr>
          <w:rFonts w:hint="default"/>
          <w:sz w:val="24"/>
          <w:szCs w:val="24"/>
        </w:rPr>
        <w:t xml:space="preserve"> syndrom presuicydalny, czynniki suicydogenne</w:t>
      </w:r>
      <w:r>
        <w:rPr>
          <w:rFonts w:hint="default"/>
          <w:sz w:val="24"/>
          <w:szCs w:val="24"/>
          <w:lang w:val="pl-PL"/>
        </w:rPr>
        <w:t>.</w:t>
      </w:r>
      <w:r>
        <w:rPr>
          <w:rFonts w:hint="default"/>
          <w:sz w:val="24"/>
          <w:szCs w:val="24"/>
        </w:rPr>
        <w:t xml:space="preserve">  </w:t>
      </w:r>
    </w:p>
    <w:p w14:paraId="3D3C1466">
      <w:pPr>
        <w:numPr>
          <w:ilvl w:val="2"/>
          <w:numId w:val="3"/>
        </w:numPr>
        <w:spacing w:after="141"/>
        <w:ind w:hanging="286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 xml:space="preserve">Zachowania suicydalne dzieci i młodzieży. </w:t>
      </w:r>
    </w:p>
    <w:p w14:paraId="04036A6E">
      <w:pPr>
        <w:numPr>
          <w:ilvl w:val="2"/>
          <w:numId w:val="3"/>
        </w:numPr>
        <w:spacing w:after="141"/>
        <w:ind w:hanging="286"/>
        <w:rPr>
          <w:sz w:val="24"/>
          <w:szCs w:val="24"/>
        </w:rPr>
      </w:pPr>
      <w:r>
        <w:rPr>
          <w:rFonts w:hint="default"/>
          <w:sz w:val="24"/>
          <w:szCs w:val="24"/>
        </w:rPr>
        <w:t xml:space="preserve">Zachowania suicydalne osób w okresie dorosłości.  </w:t>
      </w:r>
    </w:p>
    <w:p w14:paraId="7137621B">
      <w:pPr>
        <w:numPr>
          <w:ilvl w:val="2"/>
          <w:numId w:val="3"/>
        </w:numPr>
        <w:spacing w:after="141"/>
        <w:ind w:hanging="286"/>
        <w:rPr>
          <w:sz w:val="24"/>
          <w:szCs w:val="24"/>
        </w:rPr>
      </w:pPr>
      <w:r>
        <w:rPr>
          <w:rFonts w:hint="default"/>
          <w:sz w:val="24"/>
          <w:szCs w:val="24"/>
        </w:rPr>
        <w:t>Choroby przewlekłe a samobójstwo</w:t>
      </w:r>
      <w:r>
        <w:rPr>
          <w:rFonts w:hint="default"/>
          <w:sz w:val="24"/>
          <w:szCs w:val="24"/>
          <w:lang w:val="pl-PL"/>
        </w:rPr>
        <w:t>.</w:t>
      </w:r>
    </w:p>
    <w:p w14:paraId="212A9270">
      <w:pPr>
        <w:numPr>
          <w:ilvl w:val="2"/>
          <w:numId w:val="3"/>
        </w:numPr>
        <w:spacing w:after="141"/>
        <w:ind w:left="1099" w:leftChars="0" w:hanging="406" w:firstLineChars="0"/>
        <w:rPr>
          <w:sz w:val="24"/>
          <w:szCs w:val="24"/>
        </w:rPr>
      </w:pPr>
      <w:r>
        <w:rPr>
          <w:rFonts w:hint="default"/>
          <w:sz w:val="24"/>
          <w:szCs w:val="24"/>
          <w:lang w:val="pl-PL"/>
        </w:rPr>
        <w:t>Kolokwium zaliczeniowe.</w:t>
      </w:r>
    </w:p>
    <w:p w14:paraId="7F061F19">
      <w:pPr>
        <w:spacing w:after="0" w:line="268" w:lineRule="auto"/>
        <w:ind w:left="562" w:hanging="10"/>
        <w:rPr>
          <w:sz w:val="24"/>
          <w:szCs w:val="24"/>
        </w:rPr>
      </w:pPr>
      <w:r>
        <w:rPr>
          <w:b/>
          <w:sz w:val="24"/>
          <w:szCs w:val="24"/>
        </w:rPr>
        <w:t xml:space="preserve">Ćwiczenia </w:t>
      </w:r>
    </w:p>
    <w:p w14:paraId="43EDE806">
      <w:pPr>
        <w:numPr>
          <w:ilvl w:val="0"/>
          <w:numId w:val="4"/>
        </w:numPr>
        <w:spacing w:after="143"/>
        <w:ind w:left="703" w:hanging="10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 xml:space="preserve">Zapoznanie z kartą przedmiotu oraz warunkami zaliczenia. </w:t>
      </w:r>
    </w:p>
    <w:p w14:paraId="3A253255">
      <w:pPr>
        <w:numPr>
          <w:ilvl w:val="0"/>
          <w:numId w:val="4"/>
        </w:numPr>
        <w:spacing w:after="143"/>
        <w:ind w:left="703" w:hanging="10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Czerwone światło: identyfikacja sygnałów ostrzegawczych, ocena ryzyka suicydalnego</w:t>
      </w:r>
      <w:r>
        <w:rPr>
          <w:rFonts w:hint="default"/>
          <w:sz w:val="24"/>
          <w:szCs w:val="24"/>
          <w:lang w:val="pl-PL"/>
        </w:rPr>
        <w:t xml:space="preserve"> - podstawowe zasady.</w:t>
      </w:r>
    </w:p>
    <w:p w14:paraId="60FA3317">
      <w:pPr>
        <w:numPr>
          <w:ilvl w:val="0"/>
          <w:numId w:val="4"/>
        </w:numPr>
        <w:spacing w:after="143"/>
        <w:ind w:left="703" w:hanging="10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 xml:space="preserve">Strategie zapobiegania samobójstwom. </w:t>
      </w:r>
    </w:p>
    <w:p w14:paraId="0390E961">
      <w:pPr>
        <w:numPr>
          <w:ilvl w:val="0"/>
          <w:numId w:val="4"/>
        </w:numPr>
        <w:spacing w:after="143"/>
        <w:ind w:left="703" w:hanging="10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  <w:lang w:val="pl-PL"/>
        </w:rPr>
        <w:t>Komunikacja z osobą w kryzysie suicydalnym. Rola rozmowy wspierajacej i aktywnego słuchania.</w:t>
      </w:r>
    </w:p>
    <w:p w14:paraId="4CF67B13">
      <w:pPr>
        <w:numPr>
          <w:ilvl w:val="0"/>
          <w:numId w:val="4"/>
        </w:numPr>
        <w:spacing w:after="143"/>
        <w:ind w:left="703" w:hanging="10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  <w:lang w:val="pl-PL"/>
        </w:rPr>
        <w:t>Kompetencje pracownika socjalnego w zakresie profilaktyki zdarzeń suicydalnych: postępowanie w sytuacji ujawnienia myśli „S”, interwencja kryzysowa, współpraca z rodziną, współpraca interdysyplinarna.</w:t>
      </w:r>
    </w:p>
    <w:p w14:paraId="23D45BD3">
      <w:pPr>
        <w:numPr>
          <w:ilvl w:val="0"/>
          <w:numId w:val="4"/>
        </w:numPr>
        <w:spacing w:after="143"/>
        <w:ind w:left="703" w:hanging="10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Pomoc po samobójstwie osoby bliskiej</w:t>
      </w:r>
      <w:r>
        <w:rPr>
          <w:rFonts w:hint="default"/>
          <w:sz w:val="24"/>
          <w:szCs w:val="24"/>
          <w:lang w:val="pl-PL"/>
        </w:rPr>
        <w:t xml:space="preserve"> - psychologiczne skutki dla rodziny i bliskich, żałoba, postwencja, rola instytucji pomocy społecznej.</w:t>
      </w:r>
    </w:p>
    <w:p w14:paraId="3539E6C4">
      <w:pPr>
        <w:numPr>
          <w:ilvl w:val="0"/>
          <w:numId w:val="4"/>
        </w:numPr>
        <w:spacing w:after="143"/>
        <w:ind w:left="703" w:hanging="10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  <w:lang w:val="pl-PL"/>
        </w:rPr>
        <w:t>Etyczne i prawne aspekty pomocy osobom zagrożonym kryzysem suicydalnym.</w:t>
      </w:r>
    </w:p>
    <w:p w14:paraId="4873AEFB">
      <w:pPr>
        <w:numPr>
          <w:ilvl w:val="0"/>
          <w:numId w:val="4"/>
        </w:numPr>
        <w:spacing w:after="143"/>
        <w:ind w:left="703" w:hanging="10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  <w:lang w:val="pl-PL"/>
        </w:rPr>
        <w:t>Dobrostan pracownika socjalnego.</w:t>
      </w:r>
    </w:p>
    <w:p w14:paraId="2AA863F5">
      <w:pPr>
        <w:numPr>
          <w:ilvl w:val="0"/>
          <w:numId w:val="4"/>
        </w:numPr>
        <w:spacing w:after="143"/>
        <w:ind w:left="703" w:hanging="10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 xml:space="preserve">Doskonale umiejętności praktycznych: warsztat z tworzenia programów prewencyjnych. </w:t>
      </w:r>
    </w:p>
    <w:p w14:paraId="1826600D">
      <w:pPr>
        <w:numPr>
          <w:ilvl w:val="0"/>
          <w:numId w:val="4"/>
        </w:numPr>
        <w:spacing w:after="143"/>
        <w:ind w:left="703" w:hanging="10"/>
        <w:rPr>
          <w:sz w:val="24"/>
          <w:szCs w:val="24"/>
        </w:rPr>
      </w:pPr>
      <w:r>
        <w:rPr>
          <w:rFonts w:hint="default"/>
          <w:sz w:val="24"/>
          <w:szCs w:val="24"/>
        </w:rPr>
        <w:t>Studium przypadku: warsztat doskonalący umiejętności praktyczne</w:t>
      </w:r>
      <w:r>
        <w:rPr>
          <w:rFonts w:hint="default"/>
          <w:sz w:val="24"/>
          <w:szCs w:val="24"/>
          <w:lang w:val="pl-PL"/>
        </w:rPr>
        <w:t>, opracowanie posteru naukowego na wybrany temat.</w:t>
      </w:r>
    </w:p>
    <w:p w14:paraId="3CD6D89A">
      <w:pPr>
        <w:numPr>
          <w:ilvl w:val="1"/>
          <w:numId w:val="1"/>
        </w:numPr>
        <w:spacing w:after="0" w:line="268" w:lineRule="auto"/>
        <w:ind w:hanging="566"/>
      </w:pPr>
      <w:r>
        <w:rPr>
          <w:b/>
          <w:sz w:val="24"/>
        </w:rPr>
        <w:t xml:space="preserve">Efekty uczenia się realizowane w ramach przedmiotu (zajęć) </w:t>
      </w:r>
    </w:p>
    <w:tbl>
      <w:tblPr>
        <w:tblStyle w:val="8"/>
        <w:tblW w:w="9848" w:type="dxa"/>
        <w:tblInd w:w="313" w:type="dxa"/>
        <w:tblLayout w:type="autofit"/>
        <w:tblCellMar>
          <w:top w:w="47" w:type="dxa"/>
          <w:left w:w="5" w:type="dxa"/>
          <w:bottom w:w="0" w:type="dxa"/>
          <w:right w:w="0" w:type="dxa"/>
        </w:tblCellMar>
      </w:tblPr>
      <w:tblGrid>
        <w:gridCol w:w="1275"/>
        <w:gridCol w:w="6804"/>
        <w:gridCol w:w="1769"/>
      </w:tblGrid>
      <w:tr w14:paraId="469D2D61">
        <w:tblPrEx>
          <w:tblCellMar>
            <w:top w:w="47" w:type="dxa"/>
            <w:left w:w="5" w:type="dxa"/>
            <w:bottom w:w="0" w:type="dxa"/>
            <w:right w:w="0" w:type="dxa"/>
          </w:tblCellMar>
        </w:tblPrEx>
        <w:trPr>
          <w:trHeight w:val="989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CF1F8"/>
          </w:tcPr>
          <w:p w14:paraId="19405202">
            <w:pPr>
              <w:spacing w:after="0" w:line="275" w:lineRule="auto"/>
              <w:jc w:val="center"/>
            </w:pPr>
            <w:r>
              <w:rPr>
                <w:b/>
                <w:sz w:val="21"/>
              </w:rPr>
              <w:t xml:space="preserve">Efekty przedmiotowe </w:t>
            </w:r>
          </w:p>
          <w:p w14:paraId="5396C3D5">
            <w:pPr>
              <w:spacing w:after="0"/>
              <w:ind w:right="5"/>
              <w:jc w:val="center"/>
            </w:pPr>
            <w:r>
              <w:rPr>
                <w:b/>
                <w:sz w:val="21"/>
              </w:rPr>
              <w:t xml:space="preserve">(symbol) </w:t>
            </w:r>
          </w:p>
        </w:tc>
        <w:tc>
          <w:tcPr>
            <w:tcW w:w="6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E3A98E">
            <w:pPr>
              <w:spacing w:after="0"/>
              <w:ind w:right="3"/>
              <w:jc w:val="center"/>
            </w:pPr>
            <w:r>
              <w:rPr>
                <w:b/>
                <w:sz w:val="21"/>
              </w:rPr>
              <w:t xml:space="preserve">Student, który zaliczył przedmiot (zajęcia) </w:t>
            </w: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EC8B00">
            <w:pPr>
              <w:spacing w:after="0"/>
              <w:jc w:val="center"/>
            </w:pPr>
            <w:r>
              <w:rPr>
                <w:b/>
                <w:sz w:val="21"/>
              </w:rPr>
              <w:t>Odniesienie do kierunkowych efektów uczenia się</w:t>
            </w:r>
          </w:p>
        </w:tc>
      </w:tr>
      <w:tr w14:paraId="3F806535">
        <w:tblPrEx>
          <w:tblCellMar>
            <w:top w:w="47" w:type="dxa"/>
            <w:left w:w="5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 w14:paraId="16E2CCCA">
            <w:pPr>
              <w:spacing w:after="0"/>
            </w:pPr>
          </w:p>
        </w:tc>
        <w:tc>
          <w:tcPr>
            <w:tcW w:w="680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15D7201A">
            <w:pPr>
              <w:spacing w:after="0"/>
              <w:ind w:left="521"/>
              <w:jc w:val="center"/>
            </w:pPr>
            <w:r>
              <w:rPr>
                <w:b/>
                <w:sz w:val="24"/>
              </w:rPr>
              <w:t xml:space="preserve">w zakresie </w:t>
            </w:r>
            <w:r>
              <w:rPr>
                <w:b/>
                <w:sz w:val="24"/>
                <w:shd w:val="clear" w:color="auto" w:fill="ECF1F8"/>
              </w:rPr>
              <w:t>wiedzy</w:t>
            </w:r>
            <w:r>
              <w:rPr>
                <w:b/>
                <w:sz w:val="24"/>
              </w:rPr>
              <w:t xml:space="preserve">: </w:t>
            </w:r>
          </w:p>
        </w:tc>
        <w:tc>
          <w:tcPr>
            <w:tcW w:w="176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 w14:paraId="78F73A31">
            <w:pPr>
              <w:spacing w:after="0"/>
            </w:pPr>
          </w:p>
        </w:tc>
      </w:tr>
      <w:tr w14:paraId="5687B91A">
        <w:tblPrEx>
          <w:tblCellMar>
            <w:top w:w="47" w:type="dxa"/>
            <w:left w:w="5" w:type="dxa"/>
            <w:bottom w:w="0" w:type="dxa"/>
            <w:right w:w="0" w:type="dxa"/>
          </w:tblCellMar>
        </w:tblPrEx>
        <w:trPr>
          <w:trHeight w:val="304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CF1F8"/>
            <w:vAlign w:val="top"/>
          </w:tcPr>
          <w:p w14:paraId="3BB78263">
            <w:pPr>
              <w:spacing w:after="0"/>
              <w:ind w:left="16" w:leftChars="0"/>
              <w:jc w:val="center"/>
              <w:rPr>
                <w:sz w:val="21"/>
                <w:szCs w:val="21"/>
              </w:rPr>
            </w:pPr>
            <w:r>
              <w:rPr>
                <w:rFonts w:hint="default" w:ascii="Calibri" w:hAnsi="Calibri" w:eastAsia="Times New Roman" w:cs="Calibri"/>
                <w:sz w:val="21"/>
                <w:szCs w:val="21"/>
              </w:rPr>
              <w:t xml:space="preserve">W01 </w:t>
            </w:r>
          </w:p>
        </w:tc>
        <w:tc>
          <w:tcPr>
            <w:tcW w:w="6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A11EB88">
            <w:pPr>
              <w:spacing w:after="0"/>
              <w:rPr>
                <w:sz w:val="21"/>
                <w:szCs w:val="21"/>
              </w:rPr>
            </w:pPr>
            <w:r>
              <w:rPr>
                <w:rFonts w:hint="default" w:eastAsia="Times New Roman" w:cs="Calibri"/>
                <w:sz w:val="21"/>
                <w:szCs w:val="21"/>
                <w:lang w:val="pl-PL"/>
              </w:rPr>
              <w:t>z</w:t>
            </w:r>
            <w:r>
              <w:rPr>
                <w:rFonts w:hint="default" w:ascii="Calibri" w:hAnsi="Calibri" w:eastAsia="Times New Roman" w:cs="Calibri"/>
                <w:sz w:val="21"/>
                <w:szCs w:val="21"/>
              </w:rPr>
              <w:t>na</w:t>
            </w:r>
            <w:r>
              <w:rPr>
                <w:rFonts w:hint="default" w:ascii="Calibri" w:hAnsi="Calibri" w:eastAsia="Times New Roman" w:cs="Calibri"/>
                <w:sz w:val="21"/>
                <w:szCs w:val="21"/>
                <w:lang w:val="pl-PL"/>
              </w:rPr>
              <w:t xml:space="preserve"> i rozumie </w:t>
            </w:r>
            <w:r>
              <w:rPr>
                <w:rFonts w:hint="default" w:ascii="Calibri" w:hAnsi="Calibri" w:eastAsia="Times New Roman" w:cs="Calibri"/>
                <w:sz w:val="21"/>
                <w:szCs w:val="21"/>
              </w:rPr>
              <w:t xml:space="preserve"> teorie dotyczące procesu rozpoznawania i pomocy osobom w kryzysie samobójczym</w:t>
            </w: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C857288">
            <w:pPr>
              <w:spacing w:after="0"/>
              <w:ind w:left="14" w:leftChars="0"/>
              <w:jc w:val="center"/>
              <w:rPr>
                <w:sz w:val="21"/>
                <w:szCs w:val="21"/>
              </w:rPr>
            </w:pPr>
            <w:r>
              <w:rPr>
                <w:rFonts w:hint="default" w:ascii="Calibri" w:hAnsi="Calibri" w:eastAsia="Times New Roman" w:cs="Calibri"/>
                <w:sz w:val="21"/>
                <w:szCs w:val="21"/>
              </w:rPr>
              <w:t xml:space="preserve">PS1P_W02 </w:t>
            </w:r>
          </w:p>
        </w:tc>
      </w:tr>
      <w:tr w14:paraId="646D80EA">
        <w:tblPrEx>
          <w:tblCellMar>
            <w:top w:w="47" w:type="dxa"/>
            <w:left w:w="5" w:type="dxa"/>
            <w:bottom w:w="0" w:type="dxa"/>
            <w:right w:w="0" w:type="dxa"/>
          </w:tblCellMar>
        </w:tblPrEx>
        <w:trPr>
          <w:trHeight w:val="304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CF1F8"/>
            <w:vAlign w:val="top"/>
          </w:tcPr>
          <w:p w14:paraId="2FD4F14A">
            <w:pPr>
              <w:spacing w:after="0"/>
              <w:ind w:left="16" w:leftChars="0"/>
              <w:jc w:val="center"/>
              <w:rPr>
                <w:sz w:val="21"/>
                <w:szCs w:val="21"/>
              </w:rPr>
            </w:pPr>
            <w:r>
              <w:rPr>
                <w:rFonts w:hint="default" w:ascii="Calibri" w:hAnsi="Calibri" w:eastAsia="Times New Roman" w:cs="Calibri"/>
                <w:sz w:val="21"/>
                <w:szCs w:val="21"/>
              </w:rPr>
              <w:t xml:space="preserve">W02 </w:t>
            </w:r>
          </w:p>
        </w:tc>
        <w:tc>
          <w:tcPr>
            <w:tcW w:w="6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7396B5E">
            <w:pPr>
              <w:spacing w:after="0"/>
              <w:rPr>
                <w:sz w:val="21"/>
                <w:szCs w:val="21"/>
              </w:rPr>
            </w:pPr>
            <w:r>
              <w:rPr>
                <w:rFonts w:hint="default" w:eastAsia="Times New Roman" w:cs="Calibri"/>
                <w:sz w:val="21"/>
                <w:szCs w:val="21"/>
                <w:lang w:val="pl-PL"/>
              </w:rPr>
              <w:t>z</w:t>
            </w:r>
            <w:r>
              <w:rPr>
                <w:rFonts w:hint="default" w:ascii="Calibri" w:hAnsi="Calibri" w:eastAsia="Times New Roman" w:cs="Calibri"/>
                <w:sz w:val="21"/>
                <w:szCs w:val="21"/>
              </w:rPr>
              <w:t>na</w:t>
            </w:r>
            <w:r>
              <w:rPr>
                <w:rFonts w:hint="default" w:ascii="Calibri" w:hAnsi="Calibri" w:eastAsia="Times New Roman" w:cs="Calibri"/>
                <w:sz w:val="21"/>
                <w:szCs w:val="21"/>
                <w:lang w:val="pl-PL"/>
              </w:rPr>
              <w:t xml:space="preserve"> i rozumie </w:t>
            </w:r>
            <w:r>
              <w:rPr>
                <w:rFonts w:hint="default" w:ascii="Calibri" w:hAnsi="Calibri" w:eastAsia="Times New Roman" w:cs="Calibri"/>
                <w:sz w:val="21"/>
                <w:szCs w:val="21"/>
              </w:rPr>
              <w:t xml:space="preserve"> terminologię używaną oraz rozumie jej zastosowanie w praktyce </w:t>
            </w: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0D8B391">
            <w:pPr>
              <w:spacing w:after="0"/>
              <w:ind w:left="14" w:leftChars="0"/>
              <w:jc w:val="center"/>
              <w:rPr>
                <w:sz w:val="21"/>
                <w:szCs w:val="21"/>
              </w:rPr>
            </w:pPr>
            <w:r>
              <w:rPr>
                <w:rFonts w:hint="default" w:ascii="Calibri" w:hAnsi="Calibri" w:eastAsia="Times New Roman" w:cs="Calibri"/>
                <w:sz w:val="21"/>
                <w:szCs w:val="21"/>
              </w:rPr>
              <w:t xml:space="preserve">PS1P_W04 </w:t>
            </w:r>
          </w:p>
        </w:tc>
      </w:tr>
      <w:tr w14:paraId="3E54961B">
        <w:tblPrEx>
          <w:tblCellMar>
            <w:top w:w="47" w:type="dxa"/>
            <w:left w:w="5" w:type="dxa"/>
            <w:bottom w:w="0" w:type="dxa"/>
            <w:right w:w="0" w:type="dxa"/>
          </w:tblCellMar>
        </w:tblPrEx>
        <w:trPr>
          <w:trHeight w:val="304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CF1F8"/>
            <w:vAlign w:val="top"/>
          </w:tcPr>
          <w:p w14:paraId="22EAED35">
            <w:pPr>
              <w:spacing w:after="0"/>
              <w:ind w:left="16" w:leftChars="0"/>
              <w:jc w:val="center"/>
              <w:rPr>
                <w:sz w:val="21"/>
                <w:szCs w:val="21"/>
              </w:rPr>
            </w:pPr>
            <w:r>
              <w:rPr>
                <w:rFonts w:hint="default" w:ascii="Calibri" w:hAnsi="Calibri" w:eastAsia="Times New Roman" w:cs="Calibri"/>
                <w:sz w:val="21"/>
                <w:szCs w:val="21"/>
              </w:rPr>
              <w:t xml:space="preserve">W03 </w:t>
            </w:r>
          </w:p>
        </w:tc>
        <w:tc>
          <w:tcPr>
            <w:tcW w:w="6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E2A230C">
            <w:pPr>
              <w:spacing w:after="0"/>
              <w:rPr>
                <w:sz w:val="21"/>
                <w:szCs w:val="21"/>
              </w:rPr>
            </w:pPr>
            <w:r>
              <w:rPr>
                <w:rFonts w:hint="default" w:eastAsia="Times New Roman" w:cs="Calibri"/>
                <w:sz w:val="21"/>
                <w:szCs w:val="21"/>
                <w:lang w:val="pl-PL"/>
              </w:rPr>
              <w:t>z</w:t>
            </w:r>
            <w:r>
              <w:rPr>
                <w:rFonts w:hint="default" w:ascii="Calibri" w:hAnsi="Calibri" w:eastAsia="Times New Roman" w:cs="Calibri"/>
                <w:sz w:val="21"/>
                <w:szCs w:val="21"/>
              </w:rPr>
              <w:t>na</w:t>
            </w:r>
            <w:r>
              <w:rPr>
                <w:rFonts w:hint="default" w:ascii="Calibri" w:hAnsi="Calibri" w:eastAsia="Times New Roman" w:cs="Calibri"/>
                <w:sz w:val="21"/>
                <w:szCs w:val="21"/>
                <w:lang w:val="pl-PL"/>
              </w:rPr>
              <w:t xml:space="preserve"> i rozumie</w:t>
            </w:r>
            <w:r>
              <w:rPr>
                <w:rFonts w:hint="default" w:ascii="Calibri" w:hAnsi="Calibri" w:eastAsia="Times New Roman" w:cs="Calibri"/>
                <w:sz w:val="21"/>
                <w:szCs w:val="21"/>
              </w:rPr>
              <w:t xml:space="preserve"> charakter i znaczenie procesów komunikowania się interpersonalnego i społecznego, ich prawidłowości i zakłóceń zorientowanych na zastosowanie praktyczne w instytucjach społecznych  </w:t>
            </w: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E76D0B1">
            <w:pPr>
              <w:spacing w:after="0"/>
              <w:ind w:left="16" w:leftChars="0"/>
              <w:jc w:val="center"/>
              <w:rPr>
                <w:sz w:val="21"/>
                <w:szCs w:val="21"/>
              </w:rPr>
            </w:pPr>
            <w:r>
              <w:rPr>
                <w:rFonts w:hint="default" w:ascii="Calibri" w:hAnsi="Calibri" w:eastAsia="Times New Roman" w:cs="Calibri"/>
                <w:sz w:val="21"/>
                <w:szCs w:val="21"/>
              </w:rPr>
              <w:t xml:space="preserve">PSIP_W10 </w:t>
            </w:r>
          </w:p>
        </w:tc>
      </w:tr>
      <w:tr w14:paraId="18D7B979">
        <w:tblPrEx>
          <w:tblCellMar>
            <w:top w:w="47" w:type="dxa"/>
            <w:left w:w="5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 w14:paraId="1005D53F">
            <w:pPr>
              <w:spacing w:after="0"/>
            </w:pPr>
          </w:p>
        </w:tc>
        <w:tc>
          <w:tcPr>
            <w:tcW w:w="680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4B8B4454">
            <w:pPr>
              <w:spacing w:after="0"/>
              <w:ind w:left="521"/>
              <w:jc w:val="center"/>
            </w:pPr>
            <w:r>
              <w:rPr>
                <w:b/>
                <w:sz w:val="24"/>
              </w:rPr>
              <w:t xml:space="preserve">w zakresie </w:t>
            </w:r>
            <w:r>
              <w:rPr>
                <w:b/>
                <w:sz w:val="24"/>
                <w:shd w:val="clear" w:color="auto" w:fill="ECF1F8"/>
              </w:rPr>
              <w:t>umiejętności</w:t>
            </w:r>
            <w:r>
              <w:rPr>
                <w:b/>
                <w:sz w:val="24"/>
              </w:rPr>
              <w:t xml:space="preserve">: </w:t>
            </w:r>
          </w:p>
        </w:tc>
        <w:tc>
          <w:tcPr>
            <w:tcW w:w="176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 w14:paraId="38C92D32">
            <w:pPr>
              <w:spacing w:after="0"/>
            </w:pPr>
          </w:p>
        </w:tc>
      </w:tr>
      <w:tr w14:paraId="56424836">
        <w:tblPrEx>
          <w:tblCellMar>
            <w:top w:w="47" w:type="dxa"/>
            <w:left w:w="5" w:type="dxa"/>
            <w:bottom w:w="0" w:type="dxa"/>
            <w:right w:w="0" w:type="dxa"/>
          </w:tblCellMar>
        </w:tblPrEx>
        <w:trPr>
          <w:trHeight w:val="304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CF1F8"/>
            <w:vAlign w:val="top"/>
          </w:tcPr>
          <w:p w14:paraId="26F3166C">
            <w:pPr>
              <w:spacing w:after="0"/>
              <w:ind w:left="14" w:leftChars="0"/>
              <w:jc w:val="center"/>
              <w:rPr>
                <w:sz w:val="21"/>
                <w:szCs w:val="21"/>
              </w:rPr>
            </w:pPr>
            <w:r>
              <w:rPr>
                <w:rFonts w:hint="default" w:ascii="Calibri" w:hAnsi="Calibri" w:eastAsia="Times New Roman" w:cs="Calibri"/>
                <w:sz w:val="21"/>
                <w:szCs w:val="21"/>
              </w:rPr>
              <w:t xml:space="preserve">U01 </w:t>
            </w:r>
          </w:p>
        </w:tc>
        <w:tc>
          <w:tcPr>
            <w:tcW w:w="6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6B0014E">
            <w:pPr>
              <w:spacing w:after="0"/>
              <w:rPr>
                <w:sz w:val="21"/>
                <w:szCs w:val="21"/>
              </w:rPr>
            </w:pPr>
            <w:r>
              <w:rPr>
                <w:rFonts w:hint="default" w:eastAsia="Times New Roman" w:cs="Calibri"/>
                <w:sz w:val="21"/>
                <w:szCs w:val="21"/>
                <w:lang w:val="pl-PL"/>
              </w:rPr>
              <w:t>p</w:t>
            </w:r>
            <w:r>
              <w:rPr>
                <w:rFonts w:hint="default" w:ascii="Calibri" w:hAnsi="Calibri" w:eastAsia="Times New Roman" w:cs="Calibri"/>
                <w:sz w:val="21"/>
                <w:szCs w:val="21"/>
              </w:rPr>
              <w:t xml:space="preserve">otrafi dokonać obserwacji i interpretacji zjawisk społecznych z uwzględnieniem człowieka w kryzysie </w:t>
            </w:r>
            <w:r>
              <w:rPr>
                <w:rFonts w:hint="default" w:ascii="Calibri" w:hAnsi="Calibri" w:eastAsia="Times New Roman" w:cs="Calibri"/>
                <w:sz w:val="21"/>
                <w:szCs w:val="21"/>
                <w:lang w:val="pl-PL"/>
              </w:rPr>
              <w:t xml:space="preserve"> </w:t>
            </w:r>
            <w:r>
              <w:rPr>
                <w:rFonts w:hint="default" w:ascii="Calibri" w:hAnsi="Calibri" w:eastAsia="Times New Roman" w:cs="Calibri"/>
                <w:sz w:val="21"/>
                <w:szCs w:val="21"/>
              </w:rPr>
              <w:t>samobójczym</w:t>
            </w: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92EDF88">
            <w:pPr>
              <w:spacing w:after="0"/>
              <w:ind w:left="16" w:leftChars="0"/>
              <w:jc w:val="center"/>
              <w:rPr>
                <w:sz w:val="21"/>
                <w:szCs w:val="21"/>
              </w:rPr>
            </w:pPr>
            <w:r>
              <w:rPr>
                <w:rFonts w:hint="default" w:ascii="Calibri" w:hAnsi="Calibri" w:eastAsia="Times New Roman" w:cs="Calibri"/>
                <w:sz w:val="21"/>
                <w:szCs w:val="21"/>
              </w:rPr>
              <w:t xml:space="preserve">PS1P_U01 </w:t>
            </w:r>
          </w:p>
        </w:tc>
      </w:tr>
      <w:tr w14:paraId="74645D48">
        <w:tblPrEx>
          <w:tblCellMar>
            <w:top w:w="47" w:type="dxa"/>
            <w:left w:w="5" w:type="dxa"/>
            <w:bottom w:w="0" w:type="dxa"/>
            <w:right w:w="0" w:type="dxa"/>
          </w:tblCellMar>
        </w:tblPrEx>
        <w:trPr>
          <w:trHeight w:val="304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CF1F8"/>
            <w:vAlign w:val="top"/>
          </w:tcPr>
          <w:p w14:paraId="47D9175C">
            <w:pPr>
              <w:spacing w:after="0"/>
              <w:ind w:left="14" w:leftChars="0"/>
              <w:jc w:val="center"/>
              <w:rPr>
                <w:sz w:val="21"/>
                <w:szCs w:val="21"/>
              </w:rPr>
            </w:pPr>
            <w:r>
              <w:rPr>
                <w:rFonts w:hint="default" w:ascii="Calibri" w:hAnsi="Calibri" w:eastAsia="Times New Roman" w:cs="Calibri"/>
                <w:sz w:val="21"/>
                <w:szCs w:val="21"/>
              </w:rPr>
              <w:t xml:space="preserve">U02 </w:t>
            </w:r>
          </w:p>
        </w:tc>
        <w:tc>
          <w:tcPr>
            <w:tcW w:w="6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E61F2CB">
            <w:pPr>
              <w:spacing w:after="0"/>
              <w:jc w:val="both"/>
              <w:rPr>
                <w:sz w:val="21"/>
                <w:szCs w:val="21"/>
              </w:rPr>
            </w:pPr>
            <w:r>
              <w:rPr>
                <w:rFonts w:hint="default" w:eastAsia="Times New Roman" w:cs="Calibri"/>
                <w:sz w:val="21"/>
                <w:szCs w:val="21"/>
                <w:lang w:val="pl-PL"/>
              </w:rPr>
              <w:t>p</w:t>
            </w:r>
            <w:r>
              <w:rPr>
                <w:rFonts w:hint="default" w:ascii="Calibri" w:hAnsi="Calibri" w:eastAsia="Times New Roman" w:cs="Calibri"/>
                <w:sz w:val="21"/>
                <w:szCs w:val="21"/>
              </w:rPr>
              <w:t xml:space="preserve">otrafi wykorzystywać wiedzę teoretyczną z zakresu wiedzy na temat zachowań suicydalnych w celu interpretowania współczesnych problemów społecznych </w:t>
            </w: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EAC55CD">
            <w:pPr>
              <w:spacing w:after="0"/>
              <w:ind w:left="15" w:leftChars="0"/>
              <w:jc w:val="center"/>
              <w:rPr>
                <w:sz w:val="21"/>
                <w:szCs w:val="21"/>
              </w:rPr>
            </w:pPr>
            <w:r>
              <w:rPr>
                <w:rFonts w:hint="default" w:ascii="Calibri" w:hAnsi="Calibri" w:eastAsia="Times New Roman" w:cs="Calibri"/>
                <w:sz w:val="21"/>
                <w:szCs w:val="21"/>
              </w:rPr>
              <w:t xml:space="preserve">PSIP_U02 </w:t>
            </w:r>
          </w:p>
        </w:tc>
      </w:tr>
      <w:tr w14:paraId="7856C3F6">
        <w:tblPrEx>
          <w:tblCellMar>
            <w:top w:w="47" w:type="dxa"/>
            <w:left w:w="5" w:type="dxa"/>
            <w:bottom w:w="0" w:type="dxa"/>
            <w:right w:w="0" w:type="dxa"/>
          </w:tblCellMar>
        </w:tblPrEx>
        <w:trPr>
          <w:trHeight w:val="304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CF1F8"/>
            <w:vAlign w:val="top"/>
          </w:tcPr>
          <w:p w14:paraId="6773A95B">
            <w:pPr>
              <w:spacing w:after="0"/>
              <w:ind w:left="14" w:leftChars="0"/>
              <w:jc w:val="center"/>
              <w:rPr>
                <w:sz w:val="21"/>
                <w:szCs w:val="21"/>
              </w:rPr>
            </w:pPr>
            <w:r>
              <w:rPr>
                <w:rFonts w:hint="default" w:ascii="Calibri" w:hAnsi="Calibri" w:eastAsia="Times New Roman" w:cs="Calibri"/>
                <w:sz w:val="21"/>
                <w:szCs w:val="21"/>
              </w:rPr>
              <w:t xml:space="preserve">U03 </w:t>
            </w:r>
          </w:p>
        </w:tc>
        <w:tc>
          <w:tcPr>
            <w:tcW w:w="6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D9B8A2C">
            <w:pPr>
              <w:spacing w:after="0"/>
              <w:rPr>
                <w:sz w:val="21"/>
                <w:szCs w:val="21"/>
              </w:rPr>
            </w:pPr>
            <w:r>
              <w:rPr>
                <w:rFonts w:hint="default" w:eastAsia="Times New Roman" w:cs="Calibri"/>
                <w:sz w:val="21"/>
                <w:szCs w:val="21"/>
                <w:lang w:val="pl-PL"/>
              </w:rPr>
              <w:t>p</w:t>
            </w:r>
            <w:r>
              <w:rPr>
                <w:rFonts w:hint="default" w:ascii="Calibri" w:hAnsi="Calibri" w:eastAsia="Times New Roman" w:cs="Calibri"/>
                <w:sz w:val="21"/>
                <w:szCs w:val="21"/>
              </w:rPr>
              <w:t xml:space="preserve">otrafi posługiwać się ujęciami teoretycznymi w celu analizowania, diagnozowania i rognozowania sytuacji oraz analizowania strategii działań praktycznych w odniesieniu do sytuacji zagrożenia suicydalnego </w:t>
            </w: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4862BAA">
            <w:pPr>
              <w:spacing w:after="0"/>
              <w:ind w:left="13" w:leftChars="0"/>
              <w:jc w:val="center"/>
              <w:rPr>
                <w:sz w:val="21"/>
                <w:szCs w:val="21"/>
              </w:rPr>
            </w:pPr>
            <w:r>
              <w:rPr>
                <w:rFonts w:hint="default" w:ascii="Calibri" w:hAnsi="Calibri" w:eastAsia="Times New Roman" w:cs="Calibri"/>
                <w:sz w:val="21"/>
                <w:szCs w:val="21"/>
              </w:rPr>
              <w:t>PSIP</w:t>
            </w:r>
            <w:r>
              <w:rPr>
                <w:rFonts w:hint="default" w:ascii="Calibri" w:hAnsi="Calibri" w:eastAsia="Times New Roman" w:cs="Calibri"/>
                <w:sz w:val="21"/>
                <w:szCs w:val="21"/>
                <w:lang w:val="pl-PL"/>
              </w:rPr>
              <w:t>_</w:t>
            </w:r>
            <w:r>
              <w:rPr>
                <w:rFonts w:hint="default" w:ascii="Calibri" w:hAnsi="Calibri" w:eastAsia="Times New Roman" w:cs="Calibri"/>
                <w:sz w:val="21"/>
                <w:szCs w:val="21"/>
              </w:rPr>
              <w:t xml:space="preserve">U03 </w:t>
            </w:r>
          </w:p>
        </w:tc>
      </w:tr>
      <w:tr w14:paraId="06044C88">
        <w:tblPrEx>
          <w:tblCellMar>
            <w:top w:w="47" w:type="dxa"/>
            <w:left w:w="5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 w14:paraId="5324D3B1">
            <w:pPr>
              <w:spacing w:after="0"/>
            </w:pPr>
          </w:p>
        </w:tc>
        <w:tc>
          <w:tcPr>
            <w:tcW w:w="680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55A78AD5">
            <w:pPr>
              <w:spacing w:after="0"/>
              <w:ind w:left="1837"/>
            </w:pPr>
            <w:r>
              <w:rPr>
                <w:b/>
                <w:sz w:val="24"/>
              </w:rPr>
              <w:t xml:space="preserve">w zakresie </w:t>
            </w:r>
            <w:r>
              <w:rPr>
                <w:b/>
                <w:sz w:val="24"/>
                <w:shd w:val="clear" w:color="auto" w:fill="ECF1F8"/>
              </w:rPr>
              <w:t>kompetencji społecznych</w:t>
            </w:r>
            <w:r>
              <w:rPr>
                <w:b/>
                <w:sz w:val="24"/>
              </w:rPr>
              <w:t xml:space="preserve">: </w:t>
            </w:r>
          </w:p>
        </w:tc>
        <w:tc>
          <w:tcPr>
            <w:tcW w:w="176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 w14:paraId="1785E08D">
            <w:pPr>
              <w:spacing w:after="0"/>
            </w:pPr>
          </w:p>
        </w:tc>
      </w:tr>
      <w:tr w14:paraId="2EA5C11F">
        <w:tblPrEx>
          <w:tblCellMar>
            <w:top w:w="47" w:type="dxa"/>
            <w:left w:w="5" w:type="dxa"/>
            <w:bottom w:w="0" w:type="dxa"/>
            <w:right w:w="0" w:type="dxa"/>
          </w:tblCellMar>
        </w:tblPrEx>
        <w:trPr>
          <w:trHeight w:val="304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CF1F8"/>
            <w:vAlign w:val="top"/>
          </w:tcPr>
          <w:p w14:paraId="6DF89F92">
            <w:pPr>
              <w:spacing w:after="0"/>
              <w:ind w:left="14" w:leftChars="0"/>
              <w:jc w:val="center"/>
              <w:rPr>
                <w:sz w:val="21"/>
                <w:szCs w:val="21"/>
              </w:rPr>
            </w:pPr>
            <w:r>
              <w:rPr>
                <w:rFonts w:hint="default" w:ascii="Calibri" w:hAnsi="Calibri" w:eastAsia="Times New Roman" w:cs="Calibri"/>
                <w:sz w:val="21"/>
                <w:szCs w:val="21"/>
              </w:rPr>
              <w:t xml:space="preserve">K01 </w:t>
            </w:r>
          </w:p>
        </w:tc>
        <w:tc>
          <w:tcPr>
            <w:tcW w:w="6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60E9DA5">
            <w:pPr>
              <w:spacing w:after="0"/>
              <w:rPr>
                <w:sz w:val="21"/>
                <w:szCs w:val="21"/>
              </w:rPr>
            </w:pPr>
            <w:r>
              <w:rPr>
                <w:rFonts w:hint="default" w:eastAsia="Times New Roman" w:cs="Calibri"/>
                <w:sz w:val="21"/>
                <w:szCs w:val="21"/>
                <w:lang w:val="pl-PL"/>
              </w:rPr>
              <w:t>j</w:t>
            </w:r>
            <w:r>
              <w:rPr>
                <w:rFonts w:hint="default" w:ascii="Calibri" w:hAnsi="Calibri" w:eastAsia="Times New Roman" w:cs="Calibri"/>
                <w:sz w:val="21"/>
                <w:szCs w:val="21"/>
                <w:lang w:val="pl-PL"/>
              </w:rPr>
              <w:t xml:space="preserve">est gotów </w:t>
            </w:r>
            <w:r>
              <w:rPr>
                <w:rFonts w:hint="default" w:ascii="Calibri" w:hAnsi="Calibri" w:eastAsia="Times New Roman" w:cs="Calibri"/>
                <w:sz w:val="21"/>
                <w:szCs w:val="21"/>
              </w:rPr>
              <w:t xml:space="preserve">do uznawania wiedzy z zakresu nauk społecznych w celu właściwego projektowania działań z zakresu pomocy społecznej i budowania prawidłowych więzi w środowiskach społecznych </w:t>
            </w: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9C2BBA7">
            <w:pPr>
              <w:spacing w:after="0"/>
              <w:ind w:left="16" w:leftChars="0"/>
              <w:jc w:val="center"/>
              <w:rPr>
                <w:sz w:val="21"/>
                <w:szCs w:val="21"/>
              </w:rPr>
            </w:pPr>
            <w:r>
              <w:rPr>
                <w:rFonts w:hint="default" w:ascii="Calibri" w:hAnsi="Calibri" w:eastAsia="Times New Roman" w:cs="Calibri"/>
                <w:sz w:val="21"/>
                <w:szCs w:val="21"/>
              </w:rPr>
              <w:t xml:space="preserve">PS1P_K02 </w:t>
            </w:r>
          </w:p>
        </w:tc>
      </w:tr>
      <w:tr w14:paraId="2ED97A9B">
        <w:tblPrEx>
          <w:tblCellMar>
            <w:top w:w="47" w:type="dxa"/>
            <w:left w:w="5" w:type="dxa"/>
            <w:bottom w:w="0" w:type="dxa"/>
            <w:right w:w="0" w:type="dxa"/>
          </w:tblCellMar>
        </w:tblPrEx>
        <w:trPr>
          <w:trHeight w:val="304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CF1F8"/>
            <w:vAlign w:val="top"/>
          </w:tcPr>
          <w:p w14:paraId="0AE32239">
            <w:pPr>
              <w:spacing w:after="0"/>
              <w:ind w:left="14" w:leftChars="0"/>
              <w:jc w:val="center"/>
              <w:rPr>
                <w:rFonts w:hint="default" w:ascii="Calibri" w:hAnsi="Calibri" w:eastAsia="Times New Roman" w:cs="Calibri"/>
                <w:sz w:val="21"/>
                <w:szCs w:val="21"/>
              </w:rPr>
            </w:pPr>
            <w:r>
              <w:rPr>
                <w:rFonts w:hint="default" w:ascii="Calibri" w:hAnsi="Calibri" w:eastAsia="Times New Roman" w:cs="Calibri"/>
                <w:sz w:val="21"/>
                <w:szCs w:val="21"/>
              </w:rPr>
              <w:t xml:space="preserve">K02 </w:t>
            </w:r>
          </w:p>
        </w:tc>
        <w:tc>
          <w:tcPr>
            <w:tcW w:w="6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73D4F6A">
            <w:pPr>
              <w:spacing w:after="0"/>
              <w:jc w:val="both"/>
              <w:rPr>
                <w:rFonts w:hint="default" w:ascii="Calibri" w:hAnsi="Calibri" w:eastAsia="Times New Roman" w:cs="Calibri"/>
                <w:sz w:val="21"/>
                <w:szCs w:val="21"/>
                <w:lang w:val="pl-PL"/>
              </w:rPr>
            </w:pPr>
            <w:r>
              <w:rPr>
                <w:rFonts w:hint="default" w:eastAsia="Times New Roman" w:cs="Calibri"/>
                <w:sz w:val="21"/>
                <w:szCs w:val="21"/>
                <w:lang w:val="pl-PL"/>
              </w:rPr>
              <w:t>j</w:t>
            </w:r>
            <w:r>
              <w:rPr>
                <w:rFonts w:hint="default" w:ascii="Calibri" w:hAnsi="Calibri" w:eastAsia="Times New Roman" w:cs="Calibri"/>
                <w:sz w:val="21"/>
                <w:szCs w:val="21"/>
              </w:rPr>
              <w:t xml:space="preserve">est gotów do inicjowania działania na rzecz interesu </w:t>
            </w:r>
            <w:r>
              <w:rPr>
                <w:rFonts w:hint="default" w:ascii="Calibri" w:hAnsi="Calibri" w:eastAsia="Times New Roman" w:cs="Calibri"/>
                <w:sz w:val="21"/>
                <w:szCs w:val="21"/>
                <w:lang w:val="pl-PL"/>
              </w:rPr>
              <w:t>publicznego,</w:t>
            </w:r>
            <w:r>
              <w:rPr>
                <w:rFonts w:hint="default" w:ascii="Calibri" w:hAnsi="Calibri" w:eastAsia="Times New Roman" w:cs="Calibri"/>
                <w:sz w:val="21"/>
                <w:szCs w:val="21"/>
              </w:rPr>
              <w:t xml:space="preserve"> w tym tworzenia programów profilaktycznych zapobiegających samobójstwom</w:t>
            </w: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F708C7E">
            <w:pPr>
              <w:spacing w:after="0"/>
              <w:ind w:left="15" w:leftChars="0"/>
              <w:jc w:val="center"/>
              <w:rPr>
                <w:rFonts w:hint="default" w:ascii="Calibri" w:hAnsi="Calibri" w:eastAsia="Times New Roman" w:cs="Calibri"/>
                <w:sz w:val="21"/>
                <w:szCs w:val="21"/>
              </w:rPr>
            </w:pPr>
            <w:r>
              <w:rPr>
                <w:rFonts w:hint="default" w:ascii="Calibri" w:hAnsi="Calibri" w:eastAsia="Times New Roman" w:cs="Calibri"/>
                <w:sz w:val="21"/>
                <w:szCs w:val="21"/>
              </w:rPr>
              <w:t xml:space="preserve">PSIP_K03 </w:t>
            </w:r>
          </w:p>
        </w:tc>
      </w:tr>
      <w:tr w14:paraId="67DF8A8F">
        <w:tblPrEx>
          <w:tblCellMar>
            <w:top w:w="47" w:type="dxa"/>
            <w:left w:w="5" w:type="dxa"/>
            <w:bottom w:w="0" w:type="dxa"/>
            <w:right w:w="0" w:type="dxa"/>
          </w:tblCellMar>
        </w:tblPrEx>
        <w:trPr>
          <w:trHeight w:val="304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CF1F8"/>
            <w:vAlign w:val="top"/>
          </w:tcPr>
          <w:p w14:paraId="39467B6B">
            <w:pPr>
              <w:spacing w:after="0"/>
              <w:ind w:left="14" w:leftChars="0"/>
              <w:jc w:val="center"/>
              <w:rPr>
                <w:rFonts w:hint="default" w:ascii="Calibri" w:hAnsi="Calibri" w:eastAsia="Times New Roman" w:cs="Calibri"/>
                <w:sz w:val="21"/>
                <w:szCs w:val="21"/>
              </w:rPr>
            </w:pPr>
            <w:r>
              <w:rPr>
                <w:rFonts w:hint="default" w:ascii="Calibri" w:hAnsi="Calibri" w:eastAsia="Times New Roman" w:cs="Calibri"/>
                <w:sz w:val="21"/>
                <w:szCs w:val="21"/>
              </w:rPr>
              <w:t xml:space="preserve">K03 </w:t>
            </w:r>
          </w:p>
        </w:tc>
        <w:tc>
          <w:tcPr>
            <w:tcW w:w="6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8C808C2">
            <w:pPr>
              <w:spacing w:after="0"/>
              <w:rPr>
                <w:rFonts w:hint="default" w:ascii="Calibri" w:hAnsi="Calibri" w:eastAsia="Times New Roman" w:cs="Calibri"/>
                <w:sz w:val="21"/>
                <w:szCs w:val="21"/>
                <w:lang w:val="pl-PL"/>
              </w:rPr>
            </w:pPr>
            <w:r>
              <w:rPr>
                <w:rFonts w:hint="default" w:eastAsia="Times New Roman" w:cs="Calibri"/>
                <w:sz w:val="21"/>
                <w:szCs w:val="21"/>
                <w:lang w:val="pl-PL"/>
              </w:rPr>
              <w:t>j</w:t>
            </w:r>
            <w:r>
              <w:rPr>
                <w:rFonts w:hint="default" w:ascii="Calibri" w:hAnsi="Calibri" w:eastAsia="Times New Roman" w:cs="Calibri"/>
                <w:sz w:val="21"/>
                <w:szCs w:val="21"/>
              </w:rPr>
              <w:t xml:space="preserve">est gotów do podejmowania działania dla rozwoju i utrwalania właściwych zachowań i stylów życia jednostek oraz grup społecznych z wykorzystaniem dostępnych środków przekazu </w:t>
            </w: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CF11C27">
            <w:pPr>
              <w:spacing w:after="0"/>
              <w:ind w:left="15" w:leftChars="0"/>
              <w:jc w:val="center"/>
              <w:rPr>
                <w:rFonts w:hint="default" w:ascii="Calibri" w:hAnsi="Calibri" w:eastAsia="Times New Roman" w:cs="Calibri"/>
                <w:sz w:val="21"/>
                <w:szCs w:val="21"/>
              </w:rPr>
            </w:pPr>
            <w:r>
              <w:rPr>
                <w:rFonts w:hint="default" w:ascii="Calibri" w:hAnsi="Calibri" w:eastAsia="Times New Roman" w:cs="Calibri"/>
                <w:sz w:val="21"/>
                <w:szCs w:val="21"/>
              </w:rPr>
              <w:t xml:space="preserve">PSIP_K05 </w:t>
            </w:r>
          </w:p>
        </w:tc>
      </w:tr>
    </w:tbl>
    <w:p w14:paraId="0D832721">
      <w:pPr>
        <w:numPr>
          <w:ilvl w:val="0"/>
          <w:numId w:val="0"/>
        </w:numPr>
        <w:spacing w:after="127" w:line="268" w:lineRule="auto"/>
        <w:ind w:left="552" w:leftChars="0"/>
      </w:pPr>
    </w:p>
    <w:p w14:paraId="10EA5A66">
      <w:pPr>
        <w:numPr>
          <w:ilvl w:val="1"/>
          <w:numId w:val="1"/>
        </w:numPr>
        <w:spacing w:after="127" w:line="268" w:lineRule="auto"/>
        <w:ind w:hanging="566"/>
      </w:pPr>
      <w:r>
        <w:rPr>
          <w:b/>
          <w:sz w:val="24"/>
        </w:rPr>
        <w:t xml:space="preserve">Sposoby weryfikacji osiągnięcia efektów uczenia się realizowanych w ramach przedmiotu (zajęć) </w:t>
      </w:r>
    </w:p>
    <w:p w14:paraId="0E657472">
      <w:pPr>
        <w:pStyle w:val="9"/>
        <w:snapToGrid w:val="0"/>
        <w:spacing w:before="120" w:after="120" w:line="276" w:lineRule="auto"/>
        <w:ind w:firstLine="1276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Theme="minorHAnsi" w:hAnsiTheme="minorHAnsi" w:cstheme="minorHAnsi"/>
          <w:b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Sposób weryfikacji (+/-)</w:t>
      </w:r>
    </w:p>
    <w:tbl>
      <w:tblPr>
        <w:tblStyle w:val="6"/>
        <w:tblW w:w="61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6"/>
        <w:gridCol w:w="1227"/>
        <w:gridCol w:w="1228"/>
        <w:gridCol w:w="1228"/>
        <w:gridCol w:w="1228"/>
      </w:tblGrid>
      <w:tr w14:paraId="60854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6" w:type="dxa"/>
            <w:shd w:val="clear" w:color="auto" w:fill="ECF1F8"/>
            <w:vAlign w:val="center"/>
          </w:tcPr>
          <w:p w14:paraId="077D332C">
            <w:pPr>
              <w:pStyle w:val="9"/>
              <w:spacing w:line="276" w:lineRule="auto"/>
              <w:ind w:left="-100" w:right="-11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Efekty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w w:val="95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przedmiotowe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(symbol)</w:t>
            </w:r>
          </w:p>
        </w:tc>
        <w:tc>
          <w:tcPr>
            <w:tcW w:w="1227" w:type="dxa"/>
            <w:shd w:val="clear" w:color="auto" w:fill="F1F1F1" w:themeFill="background1" w:themeFillShade="F2"/>
            <w:vAlign w:val="center"/>
          </w:tcPr>
          <w:p w14:paraId="7C51D75C">
            <w:pPr>
              <w:pStyle w:val="9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HAnsi" w:hAnsiTheme="minorHAnsi" w:cstheme="minorHAnsi"/>
                <w:b/>
                <w:iCs/>
                <w:color w:val="000000" w:themeColor="text1"/>
                <w:sz w:val="21"/>
                <w:szCs w:val="21"/>
                <w:lang w:val="pl-PL"/>
                <w14:textFill>
                  <w14:solidFill>
                    <w14:schemeClr w14:val="tx1"/>
                  </w14:solidFill>
                </w14:textFill>
              </w:rPr>
              <w:t>Kolokwium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</w:p>
        </w:tc>
        <w:tc>
          <w:tcPr>
            <w:tcW w:w="1228" w:type="dxa"/>
            <w:vAlign w:val="center"/>
          </w:tcPr>
          <w:p w14:paraId="223EF481">
            <w:pPr>
              <w:pStyle w:val="9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Projekt</w:t>
            </w:r>
          </w:p>
        </w:tc>
        <w:tc>
          <w:tcPr>
            <w:tcW w:w="1228" w:type="dxa"/>
            <w:shd w:val="clear" w:color="auto" w:fill="F1F1F1" w:themeFill="background1" w:themeFillShade="F2"/>
            <w:vAlign w:val="center"/>
          </w:tcPr>
          <w:p w14:paraId="77892075">
            <w:pPr>
              <w:pStyle w:val="9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Aktywność na zajęciach</w:t>
            </w:r>
          </w:p>
        </w:tc>
        <w:tc>
          <w:tcPr>
            <w:tcW w:w="1228" w:type="dxa"/>
            <w:vAlign w:val="center"/>
          </w:tcPr>
          <w:p w14:paraId="6A149DE8">
            <w:pPr>
              <w:pStyle w:val="9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Inne</w:t>
            </w:r>
          </w:p>
          <w:p w14:paraId="1B075050">
            <w:pPr>
              <w:pStyle w:val="9"/>
              <w:spacing w:line="276" w:lineRule="auto"/>
              <w:ind w:left="-105" w:right="-155"/>
              <w:jc w:val="center"/>
              <w:rPr>
                <w:rFonts w:hint="default" w:asciiTheme="minorHAnsi" w:hAnsiTheme="minorHAnsi" w:cstheme="minorHAnsi"/>
                <w:b/>
                <w:iCs/>
                <w:color w:val="000000" w:themeColor="text1"/>
                <w:sz w:val="21"/>
                <w:szCs w:val="21"/>
                <w:lang w:val="pl-PL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HAnsi" w:hAnsiTheme="minorHAnsi" w:cstheme="minorHAnsi"/>
                <w:b/>
                <w:iCs/>
                <w:color w:val="000000" w:themeColor="text1"/>
                <w:sz w:val="21"/>
                <w:szCs w:val="21"/>
                <w:lang w:val="pl-PL"/>
                <w14:textFill>
                  <w14:solidFill>
                    <w14:schemeClr w14:val="tx1"/>
                  </w14:solidFill>
                </w14:textFill>
              </w:rPr>
              <w:t>Poster naukowy</w:t>
            </w:r>
          </w:p>
        </w:tc>
      </w:tr>
    </w:tbl>
    <w:p w14:paraId="5C02BF6F">
      <w:pPr>
        <w:pStyle w:val="9"/>
        <w:snapToGrid w:val="0"/>
        <w:spacing w:before="120" w:after="120" w:line="276" w:lineRule="auto"/>
        <w:ind w:firstLine="1276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Theme="minorHAnsi" w:hAnsiTheme="minorHAnsi" w:cstheme="minorHAnsi"/>
          <w:b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Forma zajęć</w:t>
      </w:r>
    </w:p>
    <w:tbl>
      <w:tblPr>
        <w:tblStyle w:val="6"/>
        <w:tblW w:w="61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7"/>
        <w:gridCol w:w="408"/>
        <w:gridCol w:w="409"/>
        <w:gridCol w:w="409"/>
        <w:gridCol w:w="409"/>
        <w:gridCol w:w="409"/>
        <w:gridCol w:w="409"/>
        <w:gridCol w:w="409"/>
        <w:gridCol w:w="408"/>
        <w:gridCol w:w="409"/>
        <w:gridCol w:w="409"/>
        <w:gridCol w:w="409"/>
        <w:gridCol w:w="409"/>
      </w:tblGrid>
      <w:tr w14:paraId="78F7D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7" w:type="dxa"/>
            <w:tcBorders>
              <w:tl2br w:val="single" w:color="auto" w:sz="4" w:space="0"/>
            </w:tcBorders>
          </w:tcPr>
          <w:p w14:paraId="4E1FB1CA">
            <w:pPr>
              <w:pStyle w:val="9"/>
              <w:spacing w:line="276" w:lineRule="auto"/>
              <w:jc w:val="right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1:</w:t>
            </w:r>
          </w:p>
          <w:p w14:paraId="269284E5">
            <w:pPr>
              <w:pStyle w:val="9"/>
              <w:spacing w:line="276" w:lineRule="auto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2:</w:t>
            </w:r>
          </w:p>
        </w:tc>
        <w:tc>
          <w:tcPr>
            <w:tcW w:w="408" w:type="dxa"/>
            <w:shd w:val="clear" w:color="auto" w:fill="F1F1F1" w:themeFill="background1" w:themeFillShade="F2"/>
          </w:tcPr>
          <w:p w14:paraId="541E014A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W</w:t>
            </w:r>
          </w:p>
        </w:tc>
        <w:tc>
          <w:tcPr>
            <w:tcW w:w="409" w:type="dxa"/>
            <w:shd w:val="clear" w:color="auto" w:fill="F1F1F1" w:themeFill="background1" w:themeFillShade="F2"/>
          </w:tcPr>
          <w:p w14:paraId="5F5DA127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  <w:tc>
          <w:tcPr>
            <w:tcW w:w="409" w:type="dxa"/>
            <w:shd w:val="clear" w:color="auto" w:fill="F1F1F1" w:themeFill="background1" w:themeFillShade="F2"/>
          </w:tcPr>
          <w:p w14:paraId="6B3F39F5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...</w:t>
            </w:r>
          </w:p>
        </w:tc>
        <w:tc>
          <w:tcPr>
            <w:tcW w:w="409" w:type="dxa"/>
          </w:tcPr>
          <w:p w14:paraId="3A7A64C4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W</w:t>
            </w:r>
          </w:p>
        </w:tc>
        <w:tc>
          <w:tcPr>
            <w:tcW w:w="409" w:type="dxa"/>
          </w:tcPr>
          <w:p w14:paraId="622745D2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  <w:tc>
          <w:tcPr>
            <w:tcW w:w="409" w:type="dxa"/>
          </w:tcPr>
          <w:p w14:paraId="16E3E81D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...</w:t>
            </w:r>
          </w:p>
        </w:tc>
        <w:tc>
          <w:tcPr>
            <w:tcW w:w="409" w:type="dxa"/>
            <w:shd w:val="clear" w:color="auto" w:fill="F1F1F1" w:themeFill="background1" w:themeFillShade="F2"/>
          </w:tcPr>
          <w:p w14:paraId="26227EB0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W</w:t>
            </w:r>
          </w:p>
        </w:tc>
        <w:tc>
          <w:tcPr>
            <w:tcW w:w="408" w:type="dxa"/>
            <w:shd w:val="clear" w:color="auto" w:fill="F1F1F1" w:themeFill="background1" w:themeFillShade="F2"/>
          </w:tcPr>
          <w:p w14:paraId="71796898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  <w:tc>
          <w:tcPr>
            <w:tcW w:w="409" w:type="dxa"/>
            <w:shd w:val="clear" w:color="auto" w:fill="F1F1F1" w:themeFill="background1" w:themeFillShade="F2"/>
          </w:tcPr>
          <w:p w14:paraId="0C2F5368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...</w:t>
            </w:r>
          </w:p>
        </w:tc>
        <w:tc>
          <w:tcPr>
            <w:tcW w:w="409" w:type="dxa"/>
          </w:tcPr>
          <w:p w14:paraId="56C4E036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W</w:t>
            </w:r>
          </w:p>
        </w:tc>
        <w:tc>
          <w:tcPr>
            <w:tcW w:w="409" w:type="dxa"/>
          </w:tcPr>
          <w:p w14:paraId="705D2DAF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  <w:tc>
          <w:tcPr>
            <w:tcW w:w="409" w:type="dxa"/>
          </w:tcPr>
          <w:p w14:paraId="7B45D196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...</w:t>
            </w:r>
          </w:p>
        </w:tc>
      </w:tr>
      <w:tr w14:paraId="11151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7" w:type="dxa"/>
            <w:shd w:val="clear" w:color="auto" w:fill="ECF1F8"/>
            <w:vAlign w:val="top"/>
          </w:tcPr>
          <w:p w14:paraId="42939EEF">
            <w:pPr>
              <w:spacing w:after="0"/>
              <w:ind w:left="11" w:leftChars="0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Times New Roman" w:cs="Calibri"/>
                <w:sz w:val="20"/>
              </w:rPr>
              <w:t xml:space="preserve">W01 </w:t>
            </w:r>
          </w:p>
        </w:tc>
        <w:tc>
          <w:tcPr>
            <w:tcW w:w="408" w:type="dxa"/>
            <w:shd w:val="clear" w:color="auto" w:fill="F1F1F1" w:themeFill="background1" w:themeFillShade="F2"/>
          </w:tcPr>
          <w:p w14:paraId="08F89FF4">
            <w:pPr>
              <w:pStyle w:val="9"/>
              <w:spacing w:line="276" w:lineRule="auto"/>
              <w:jc w:val="center"/>
              <w:rPr>
                <w:rFonts w:hint="default"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pl-PL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pl-PL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409" w:type="dxa"/>
            <w:shd w:val="clear" w:color="auto" w:fill="F1F1F1" w:themeFill="background1" w:themeFillShade="F2"/>
          </w:tcPr>
          <w:p w14:paraId="3343DA16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9" w:type="dxa"/>
            <w:shd w:val="clear" w:color="auto" w:fill="F1F1F1" w:themeFill="background1" w:themeFillShade="F2"/>
          </w:tcPr>
          <w:p w14:paraId="766A7D71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9" w:type="dxa"/>
          </w:tcPr>
          <w:p w14:paraId="5E79F388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9" w:type="dxa"/>
          </w:tcPr>
          <w:p w14:paraId="22E1F480">
            <w:pPr>
              <w:pStyle w:val="9"/>
              <w:spacing w:line="276" w:lineRule="auto"/>
              <w:jc w:val="center"/>
              <w:rPr>
                <w:rFonts w:hint="default"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pl-PL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pl-PL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409" w:type="dxa"/>
          </w:tcPr>
          <w:p w14:paraId="48C4D3E6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9" w:type="dxa"/>
            <w:shd w:val="clear" w:color="auto" w:fill="F1F1F1" w:themeFill="background1" w:themeFillShade="F2"/>
          </w:tcPr>
          <w:p w14:paraId="611175A7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8" w:type="dxa"/>
            <w:shd w:val="clear" w:color="auto" w:fill="F1F1F1" w:themeFill="background1" w:themeFillShade="F2"/>
          </w:tcPr>
          <w:p w14:paraId="17D8460C">
            <w:pPr>
              <w:pStyle w:val="9"/>
              <w:spacing w:line="276" w:lineRule="auto"/>
              <w:jc w:val="center"/>
              <w:rPr>
                <w:rFonts w:hint="default"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pl-PL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pl-PL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409" w:type="dxa"/>
            <w:shd w:val="clear" w:color="auto" w:fill="F1F1F1" w:themeFill="background1" w:themeFillShade="F2"/>
          </w:tcPr>
          <w:p w14:paraId="1F4DCF69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9" w:type="dxa"/>
          </w:tcPr>
          <w:p w14:paraId="604BF2F9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9" w:type="dxa"/>
          </w:tcPr>
          <w:p w14:paraId="1CFF6D89">
            <w:pPr>
              <w:pStyle w:val="9"/>
              <w:spacing w:line="276" w:lineRule="auto"/>
              <w:jc w:val="center"/>
              <w:rPr>
                <w:rFonts w:hint="default"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pl-PL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pl-PL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409" w:type="dxa"/>
          </w:tcPr>
          <w:p w14:paraId="6D9CEF17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6A6C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7" w:type="dxa"/>
            <w:shd w:val="clear" w:color="auto" w:fill="ECF1F8"/>
            <w:vAlign w:val="top"/>
          </w:tcPr>
          <w:p w14:paraId="260E3FDA">
            <w:pPr>
              <w:spacing w:after="0"/>
              <w:ind w:left="11" w:leftChars="0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Times New Roman" w:cs="Calibri"/>
                <w:sz w:val="20"/>
              </w:rPr>
              <w:t xml:space="preserve">W02 </w:t>
            </w:r>
          </w:p>
        </w:tc>
        <w:tc>
          <w:tcPr>
            <w:tcW w:w="408" w:type="dxa"/>
            <w:shd w:val="clear" w:color="auto" w:fill="F1F1F1" w:themeFill="background1" w:themeFillShade="F2"/>
          </w:tcPr>
          <w:p w14:paraId="1EC4161B">
            <w:pPr>
              <w:pStyle w:val="9"/>
              <w:spacing w:line="276" w:lineRule="auto"/>
              <w:jc w:val="center"/>
              <w:rPr>
                <w:rFonts w:hint="default"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pl-PL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pl-PL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409" w:type="dxa"/>
            <w:shd w:val="clear" w:color="auto" w:fill="F1F1F1" w:themeFill="background1" w:themeFillShade="F2"/>
          </w:tcPr>
          <w:p w14:paraId="11B5E0B5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9" w:type="dxa"/>
            <w:shd w:val="clear" w:color="auto" w:fill="F1F1F1" w:themeFill="background1" w:themeFillShade="F2"/>
          </w:tcPr>
          <w:p w14:paraId="6FABFFE7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9" w:type="dxa"/>
          </w:tcPr>
          <w:p w14:paraId="14050917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9" w:type="dxa"/>
          </w:tcPr>
          <w:p w14:paraId="3C28C737">
            <w:pPr>
              <w:pStyle w:val="9"/>
              <w:spacing w:line="276" w:lineRule="auto"/>
              <w:jc w:val="center"/>
              <w:rPr>
                <w:rFonts w:hint="default"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pl-PL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pl-PL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409" w:type="dxa"/>
          </w:tcPr>
          <w:p w14:paraId="05A975AE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9" w:type="dxa"/>
            <w:shd w:val="clear" w:color="auto" w:fill="F1F1F1" w:themeFill="background1" w:themeFillShade="F2"/>
          </w:tcPr>
          <w:p w14:paraId="2C1517D9">
            <w:pPr>
              <w:pStyle w:val="9"/>
              <w:spacing w:line="276" w:lineRule="auto"/>
              <w:jc w:val="center"/>
              <w:rPr>
                <w:rFonts w:hint="default"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pl-PL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pl-PL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408" w:type="dxa"/>
            <w:shd w:val="clear" w:color="auto" w:fill="F1F1F1" w:themeFill="background1" w:themeFillShade="F2"/>
          </w:tcPr>
          <w:p w14:paraId="40854A40">
            <w:pPr>
              <w:pStyle w:val="9"/>
              <w:spacing w:line="276" w:lineRule="auto"/>
              <w:jc w:val="center"/>
              <w:rPr>
                <w:rFonts w:hint="default"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pl-PL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pl-PL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409" w:type="dxa"/>
            <w:shd w:val="clear" w:color="auto" w:fill="F1F1F1" w:themeFill="background1" w:themeFillShade="F2"/>
          </w:tcPr>
          <w:p w14:paraId="17A4092F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9" w:type="dxa"/>
          </w:tcPr>
          <w:p w14:paraId="654919C3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9" w:type="dxa"/>
          </w:tcPr>
          <w:p w14:paraId="4576CC2C">
            <w:pPr>
              <w:pStyle w:val="9"/>
              <w:spacing w:line="276" w:lineRule="auto"/>
              <w:jc w:val="center"/>
              <w:rPr>
                <w:rFonts w:hint="default"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pl-PL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pl-PL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409" w:type="dxa"/>
          </w:tcPr>
          <w:p w14:paraId="50686C71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5A5A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7" w:type="dxa"/>
            <w:shd w:val="clear" w:color="auto" w:fill="ECF1F8"/>
            <w:vAlign w:val="top"/>
          </w:tcPr>
          <w:p w14:paraId="6B97EE23">
            <w:pPr>
              <w:spacing w:after="0"/>
              <w:ind w:left="11" w:leftChars="0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Times New Roman" w:cs="Calibri"/>
                <w:sz w:val="20"/>
              </w:rPr>
              <w:t xml:space="preserve">W03 </w:t>
            </w:r>
          </w:p>
        </w:tc>
        <w:tc>
          <w:tcPr>
            <w:tcW w:w="408" w:type="dxa"/>
            <w:shd w:val="clear" w:color="auto" w:fill="F1F1F1" w:themeFill="background1" w:themeFillShade="F2"/>
          </w:tcPr>
          <w:p w14:paraId="66442D6A">
            <w:pPr>
              <w:pStyle w:val="9"/>
              <w:spacing w:line="276" w:lineRule="auto"/>
              <w:jc w:val="center"/>
              <w:rPr>
                <w:rFonts w:hint="default"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pl-PL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pl-PL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409" w:type="dxa"/>
            <w:shd w:val="clear" w:color="auto" w:fill="F1F1F1" w:themeFill="background1" w:themeFillShade="F2"/>
          </w:tcPr>
          <w:p w14:paraId="7C4C1FD0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9" w:type="dxa"/>
            <w:shd w:val="clear" w:color="auto" w:fill="F1F1F1" w:themeFill="background1" w:themeFillShade="F2"/>
          </w:tcPr>
          <w:p w14:paraId="6475B195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9" w:type="dxa"/>
          </w:tcPr>
          <w:p w14:paraId="51A39DB3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9" w:type="dxa"/>
          </w:tcPr>
          <w:p w14:paraId="590F27A6">
            <w:pPr>
              <w:pStyle w:val="9"/>
              <w:spacing w:line="276" w:lineRule="auto"/>
              <w:jc w:val="center"/>
              <w:rPr>
                <w:rFonts w:hint="default"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pl-PL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pl-PL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409" w:type="dxa"/>
          </w:tcPr>
          <w:p w14:paraId="5B86C047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9" w:type="dxa"/>
            <w:shd w:val="clear" w:color="auto" w:fill="F1F1F1" w:themeFill="background1" w:themeFillShade="F2"/>
          </w:tcPr>
          <w:p w14:paraId="6CDB221A">
            <w:pPr>
              <w:pStyle w:val="9"/>
              <w:spacing w:line="276" w:lineRule="auto"/>
              <w:jc w:val="center"/>
              <w:rPr>
                <w:rFonts w:hint="default"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pl-PL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pl-PL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408" w:type="dxa"/>
            <w:shd w:val="clear" w:color="auto" w:fill="F1F1F1" w:themeFill="background1" w:themeFillShade="F2"/>
          </w:tcPr>
          <w:p w14:paraId="030F7D20">
            <w:pPr>
              <w:pStyle w:val="9"/>
              <w:spacing w:line="276" w:lineRule="auto"/>
              <w:jc w:val="center"/>
              <w:rPr>
                <w:rFonts w:hint="default"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pl-PL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pl-PL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409" w:type="dxa"/>
            <w:shd w:val="clear" w:color="auto" w:fill="F1F1F1" w:themeFill="background1" w:themeFillShade="F2"/>
          </w:tcPr>
          <w:p w14:paraId="377C3414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9" w:type="dxa"/>
          </w:tcPr>
          <w:p w14:paraId="3C26244B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9" w:type="dxa"/>
          </w:tcPr>
          <w:p w14:paraId="5EC95FF9">
            <w:pPr>
              <w:pStyle w:val="9"/>
              <w:spacing w:line="276" w:lineRule="auto"/>
              <w:jc w:val="center"/>
              <w:rPr>
                <w:rFonts w:hint="default"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pl-PL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pl-PL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409" w:type="dxa"/>
          </w:tcPr>
          <w:p w14:paraId="7C44C501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1444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7" w:type="dxa"/>
            <w:shd w:val="clear" w:color="auto" w:fill="ECF1F8"/>
            <w:vAlign w:val="top"/>
          </w:tcPr>
          <w:p w14:paraId="3A1E8B86">
            <w:pPr>
              <w:spacing w:after="0"/>
              <w:ind w:left="11" w:leftChars="0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Times New Roman" w:cs="Calibri"/>
                <w:sz w:val="20"/>
              </w:rPr>
              <w:t xml:space="preserve">U01 </w:t>
            </w:r>
          </w:p>
        </w:tc>
        <w:tc>
          <w:tcPr>
            <w:tcW w:w="408" w:type="dxa"/>
            <w:shd w:val="clear" w:color="auto" w:fill="F1F1F1" w:themeFill="background1" w:themeFillShade="F2"/>
          </w:tcPr>
          <w:p w14:paraId="391CB87F">
            <w:pPr>
              <w:pStyle w:val="9"/>
              <w:spacing w:line="276" w:lineRule="auto"/>
              <w:jc w:val="center"/>
              <w:rPr>
                <w:rFonts w:hint="default"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pl-PL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pl-PL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409" w:type="dxa"/>
            <w:shd w:val="clear" w:color="auto" w:fill="F1F1F1" w:themeFill="background1" w:themeFillShade="F2"/>
          </w:tcPr>
          <w:p w14:paraId="6344629B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9" w:type="dxa"/>
            <w:shd w:val="clear" w:color="auto" w:fill="F1F1F1" w:themeFill="background1" w:themeFillShade="F2"/>
          </w:tcPr>
          <w:p w14:paraId="6994498B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9" w:type="dxa"/>
          </w:tcPr>
          <w:p w14:paraId="70AC49E5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9" w:type="dxa"/>
          </w:tcPr>
          <w:p w14:paraId="698745B0">
            <w:pPr>
              <w:pStyle w:val="9"/>
              <w:spacing w:line="276" w:lineRule="auto"/>
              <w:jc w:val="center"/>
              <w:rPr>
                <w:rFonts w:hint="default"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pl-PL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pl-PL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409" w:type="dxa"/>
          </w:tcPr>
          <w:p w14:paraId="44B8DBD3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9" w:type="dxa"/>
            <w:shd w:val="clear" w:color="auto" w:fill="F1F1F1" w:themeFill="background1" w:themeFillShade="F2"/>
          </w:tcPr>
          <w:p w14:paraId="1FAE38DB">
            <w:pPr>
              <w:pStyle w:val="9"/>
              <w:spacing w:line="276" w:lineRule="auto"/>
              <w:jc w:val="center"/>
              <w:rPr>
                <w:rFonts w:hint="default"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pl-PL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8" w:type="dxa"/>
            <w:shd w:val="clear" w:color="auto" w:fill="F1F1F1" w:themeFill="background1" w:themeFillShade="F2"/>
          </w:tcPr>
          <w:p w14:paraId="3EEDACC8">
            <w:pPr>
              <w:pStyle w:val="9"/>
              <w:spacing w:line="276" w:lineRule="auto"/>
              <w:jc w:val="center"/>
              <w:rPr>
                <w:rFonts w:hint="default"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pl-PL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pl-PL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409" w:type="dxa"/>
            <w:shd w:val="clear" w:color="auto" w:fill="F1F1F1" w:themeFill="background1" w:themeFillShade="F2"/>
          </w:tcPr>
          <w:p w14:paraId="143448CB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9" w:type="dxa"/>
          </w:tcPr>
          <w:p w14:paraId="08EAED55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9" w:type="dxa"/>
          </w:tcPr>
          <w:p w14:paraId="2BD891C7">
            <w:pPr>
              <w:pStyle w:val="9"/>
              <w:spacing w:line="276" w:lineRule="auto"/>
              <w:jc w:val="center"/>
              <w:rPr>
                <w:rFonts w:hint="default"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pl-PL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pl-PL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409" w:type="dxa"/>
          </w:tcPr>
          <w:p w14:paraId="003E2701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D902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7" w:type="dxa"/>
            <w:shd w:val="clear" w:color="auto" w:fill="ECF1F8"/>
            <w:vAlign w:val="top"/>
          </w:tcPr>
          <w:p w14:paraId="08DE8906">
            <w:pPr>
              <w:spacing w:after="0"/>
              <w:ind w:left="11" w:leftChars="0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Times New Roman" w:cs="Calibri"/>
                <w:sz w:val="20"/>
              </w:rPr>
              <w:t xml:space="preserve">U02 </w:t>
            </w:r>
          </w:p>
        </w:tc>
        <w:tc>
          <w:tcPr>
            <w:tcW w:w="408" w:type="dxa"/>
            <w:shd w:val="clear" w:color="auto" w:fill="F1F1F1" w:themeFill="background1" w:themeFillShade="F2"/>
          </w:tcPr>
          <w:p w14:paraId="061A41E5">
            <w:pPr>
              <w:pStyle w:val="9"/>
              <w:spacing w:line="276" w:lineRule="auto"/>
              <w:jc w:val="center"/>
              <w:rPr>
                <w:rFonts w:hint="default"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pl-PL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pl-PL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409" w:type="dxa"/>
            <w:shd w:val="clear" w:color="auto" w:fill="F1F1F1" w:themeFill="background1" w:themeFillShade="F2"/>
          </w:tcPr>
          <w:p w14:paraId="01EA6341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9" w:type="dxa"/>
            <w:shd w:val="clear" w:color="auto" w:fill="F1F1F1" w:themeFill="background1" w:themeFillShade="F2"/>
          </w:tcPr>
          <w:p w14:paraId="6D174A4A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9" w:type="dxa"/>
          </w:tcPr>
          <w:p w14:paraId="6FFD4909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9" w:type="dxa"/>
          </w:tcPr>
          <w:p w14:paraId="6992AA6F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9" w:type="dxa"/>
          </w:tcPr>
          <w:p w14:paraId="03308FFE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9" w:type="dxa"/>
            <w:shd w:val="clear" w:color="auto" w:fill="F1F1F1" w:themeFill="background1" w:themeFillShade="F2"/>
          </w:tcPr>
          <w:p w14:paraId="1B513EA1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8" w:type="dxa"/>
            <w:shd w:val="clear" w:color="auto" w:fill="F1F1F1" w:themeFill="background1" w:themeFillShade="F2"/>
          </w:tcPr>
          <w:p w14:paraId="2A6BE1E1">
            <w:pPr>
              <w:pStyle w:val="9"/>
              <w:spacing w:line="276" w:lineRule="auto"/>
              <w:jc w:val="center"/>
              <w:rPr>
                <w:rFonts w:hint="default"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pl-PL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pl-PL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409" w:type="dxa"/>
            <w:shd w:val="clear" w:color="auto" w:fill="F1F1F1" w:themeFill="background1" w:themeFillShade="F2"/>
          </w:tcPr>
          <w:p w14:paraId="60709CD1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9" w:type="dxa"/>
          </w:tcPr>
          <w:p w14:paraId="5CF38BF6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9" w:type="dxa"/>
          </w:tcPr>
          <w:p w14:paraId="31F11F1C">
            <w:pPr>
              <w:pStyle w:val="9"/>
              <w:spacing w:line="276" w:lineRule="auto"/>
              <w:jc w:val="center"/>
              <w:rPr>
                <w:rFonts w:hint="default"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pl-PL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pl-PL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409" w:type="dxa"/>
          </w:tcPr>
          <w:p w14:paraId="4C48B64D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D3B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7" w:type="dxa"/>
            <w:shd w:val="clear" w:color="auto" w:fill="ECF1F8"/>
            <w:vAlign w:val="top"/>
          </w:tcPr>
          <w:p w14:paraId="6F2E722C">
            <w:pPr>
              <w:spacing w:after="0"/>
              <w:ind w:left="11" w:leftChars="0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Times New Roman" w:cs="Calibri"/>
                <w:sz w:val="20"/>
              </w:rPr>
              <w:t xml:space="preserve">U03 </w:t>
            </w:r>
          </w:p>
        </w:tc>
        <w:tc>
          <w:tcPr>
            <w:tcW w:w="408" w:type="dxa"/>
            <w:shd w:val="clear" w:color="auto" w:fill="F1F1F1" w:themeFill="background1" w:themeFillShade="F2"/>
          </w:tcPr>
          <w:p w14:paraId="6474611B">
            <w:pPr>
              <w:pStyle w:val="9"/>
              <w:spacing w:line="276" w:lineRule="auto"/>
              <w:jc w:val="center"/>
              <w:rPr>
                <w:rFonts w:hint="default"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pl-PL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pl-PL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409" w:type="dxa"/>
            <w:shd w:val="clear" w:color="auto" w:fill="F1F1F1" w:themeFill="background1" w:themeFillShade="F2"/>
          </w:tcPr>
          <w:p w14:paraId="3685E376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9" w:type="dxa"/>
            <w:shd w:val="clear" w:color="auto" w:fill="F1F1F1" w:themeFill="background1" w:themeFillShade="F2"/>
          </w:tcPr>
          <w:p w14:paraId="4AA21EFF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9" w:type="dxa"/>
          </w:tcPr>
          <w:p w14:paraId="62BB121B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9" w:type="dxa"/>
          </w:tcPr>
          <w:p w14:paraId="0893C5A3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9" w:type="dxa"/>
          </w:tcPr>
          <w:p w14:paraId="399384DA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9" w:type="dxa"/>
            <w:shd w:val="clear" w:color="auto" w:fill="F1F1F1" w:themeFill="background1" w:themeFillShade="F2"/>
          </w:tcPr>
          <w:p w14:paraId="469E3037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8" w:type="dxa"/>
            <w:shd w:val="clear" w:color="auto" w:fill="F1F1F1" w:themeFill="background1" w:themeFillShade="F2"/>
          </w:tcPr>
          <w:p w14:paraId="20F112C0">
            <w:pPr>
              <w:pStyle w:val="9"/>
              <w:spacing w:line="276" w:lineRule="auto"/>
              <w:jc w:val="center"/>
              <w:rPr>
                <w:rFonts w:hint="default"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pl-PL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pl-PL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409" w:type="dxa"/>
            <w:shd w:val="clear" w:color="auto" w:fill="F1F1F1" w:themeFill="background1" w:themeFillShade="F2"/>
          </w:tcPr>
          <w:p w14:paraId="2DCC5500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9" w:type="dxa"/>
          </w:tcPr>
          <w:p w14:paraId="2E4DCE2F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9" w:type="dxa"/>
          </w:tcPr>
          <w:p w14:paraId="2CF39EAF">
            <w:pPr>
              <w:pStyle w:val="9"/>
              <w:spacing w:line="276" w:lineRule="auto"/>
              <w:jc w:val="center"/>
              <w:rPr>
                <w:rFonts w:hint="default"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pl-PL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pl-PL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409" w:type="dxa"/>
          </w:tcPr>
          <w:p w14:paraId="68195BEC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0B4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7" w:type="dxa"/>
            <w:shd w:val="clear" w:color="auto" w:fill="ECF1F8"/>
            <w:vAlign w:val="top"/>
          </w:tcPr>
          <w:p w14:paraId="5F3969C9">
            <w:pPr>
              <w:spacing w:after="0"/>
              <w:ind w:left="11" w:leftChars="0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Times New Roman" w:cs="Calibri"/>
                <w:sz w:val="20"/>
              </w:rPr>
              <w:t xml:space="preserve">K01 </w:t>
            </w:r>
          </w:p>
        </w:tc>
        <w:tc>
          <w:tcPr>
            <w:tcW w:w="408" w:type="dxa"/>
            <w:shd w:val="clear" w:color="auto" w:fill="F1F1F1" w:themeFill="background1" w:themeFillShade="F2"/>
          </w:tcPr>
          <w:p w14:paraId="7642E87E">
            <w:pPr>
              <w:pStyle w:val="9"/>
              <w:spacing w:line="276" w:lineRule="auto"/>
              <w:jc w:val="center"/>
              <w:rPr>
                <w:rFonts w:hint="default"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pl-PL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pl-PL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409" w:type="dxa"/>
            <w:shd w:val="clear" w:color="auto" w:fill="F1F1F1" w:themeFill="background1" w:themeFillShade="F2"/>
          </w:tcPr>
          <w:p w14:paraId="31A9BDCF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9" w:type="dxa"/>
            <w:shd w:val="clear" w:color="auto" w:fill="F1F1F1" w:themeFill="background1" w:themeFillShade="F2"/>
          </w:tcPr>
          <w:p w14:paraId="24039597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9" w:type="dxa"/>
          </w:tcPr>
          <w:p w14:paraId="00E2D756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9" w:type="dxa"/>
          </w:tcPr>
          <w:p w14:paraId="54A1ADED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9" w:type="dxa"/>
          </w:tcPr>
          <w:p w14:paraId="31C829EA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9" w:type="dxa"/>
            <w:shd w:val="clear" w:color="auto" w:fill="F1F1F1" w:themeFill="background1" w:themeFillShade="F2"/>
          </w:tcPr>
          <w:p w14:paraId="149F9966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8" w:type="dxa"/>
            <w:shd w:val="clear" w:color="auto" w:fill="F1F1F1" w:themeFill="background1" w:themeFillShade="F2"/>
          </w:tcPr>
          <w:p w14:paraId="2887479A">
            <w:pPr>
              <w:pStyle w:val="9"/>
              <w:spacing w:line="276" w:lineRule="auto"/>
              <w:jc w:val="center"/>
              <w:rPr>
                <w:rFonts w:hint="default"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pl-PL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pl-PL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409" w:type="dxa"/>
            <w:shd w:val="clear" w:color="auto" w:fill="F1F1F1" w:themeFill="background1" w:themeFillShade="F2"/>
          </w:tcPr>
          <w:p w14:paraId="3AA46357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9" w:type="dxa"/>
          </w:tcPr>
          <w:p w14:paraId="2E72125A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9" w:type="dxa"/>
          </w:tcPr>
          <w:p w14:paraId="50A186C6">
            <w:pPr>
              <w:pStyle w:val="9"/>
              <w:spacing w:line="276" w:lineRule="auto"/>
              <w:jc w:val="center"/>
              <w:rPr>
                <w:rFonts w:hint="default"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pl-PL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pl-PL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409" w:type="dxa"/>
          </w:tcPr>
          <w:p w14:paraId="709AE1FD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2E0F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7" w:type="dxa"/>
            <w:shd w:val="clear" w:color="auto" w:fill="ECF1F8"/>
            <w:vAlign w:val="top"/>
          </w:tcPr>
          <w:p w14:paraId="2A9D11D5">
            <w:pPr>
              <w:spacing w:after="0"/>
              <w:ind w:left="11" w:leftChars="0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Times New Roman" w:cs="Calibri"/>
                <w:sz w:val="20"/>
              </w:rPr>
              <w:t xml:space="preserve">K02 </w:t>
            </w:r>
          </w:p>
        </w:tc>
        <w:tc>
          <w:tcPr>
            <w:tcW w:w="408" w:type="dxa"/>
            <w:shd w:val="clear" w:color="auto" w:fill="F1F1F1" w:themeFill="background1" w:themeFillShade="F2"/>
          </w:tcPr>
          <w:p w14:paraId="7F06A799">
            <w:pPr>
              <w:pStyle w:val="9"/>
              <w:spacing w:line="276" w:lineRule="auto"/>
              <w:jc w:val="center"/>
              <w:rPr>
                <w:rFonts w:hint="default"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pl-PL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pl-PL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409" w:type="dxa"/>
            <w:shd w:val="clear" w:color="auto" w:fill="F1F1F1" w:themeFill="background1" w:themeFillShade="F2"/>
          </w:tcPr>
          <w:p w14:paraId="359C7E30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9" w:type="dxa"/>
            <w:shd w:val="clear" w:color="auto" w:fill="F1F1F1" w:themeFill="background1" w:themeFillShade="F2"/>
          </w:tcPr>
          <w:p w14:paraId="1820F6C7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9" w:type="dxa"/>
          </w:tcPr>
          <w:p w14:paraId="60412C88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9" w:type="dxa"/>
          </w:tcPr>
          <w:p w14:paraId="4798B741">
            <w:pPr>
              <w:pStyle w:val="9"/>
              <w:spacing w:line="276" w:lineRule="auto"/>
              <w:jc w:val="center"/>
              <w:rPr>
                <w:rFonts w:hint="default"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pl-PL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pl-PL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409" w:type="dxa"/>
          </w:tcPr>
          <w:p w14:paraId="312D72DC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9" w:type="dxa"/>
            <w:shd w:val="clear" w:color="auto" w:fill="F1F1F1" w:themeFill="background1" w:themeFillShade="F2"/>
          </w:tcPr>
          <w:p w14:paraId="094BB590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8" w:type="dxa"/>
            <w:shd w:val="clear" w:color="auto" w:fill="F1F1F1" w:themeFill="background1" w:themeFillShade="F2"/>
          </w:tcPr>
          <w:p w14:paraId="12DA53A3">
            <w:pPr>
              <w:pStyle w:val="9"/>
              <w:spacing w:line="276" w:lineRule="auto"/>
              <w:jc w:val="center"/>
              <w:rPr>
                <w:rFonts w:hint="default"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pl-PL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pl-PL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409" w:type="dxa"/>
            <w:shd w:val="clear" w:color="auto" w:fill="F1F1F1" w:themeFill="background1" w:themeFillShade="F2"/>
          </w:tcPr>
          <w:p w14:paraId="65ADA6B7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9" w:type="dxa"/>
          </w:tcPr>
          <w:p w14:paraId="08C7FF6D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9" w:type="dxa"/>
          </w:tcPr>
          <w:p w14:paraId="4BD14325">
            <w:pPr>
              <w:pStyle w:val="9"/>
              <w:spacing w:line="276" w:lineRule="auto"/>
              <w:jc w:val="center"/>
              <w:rPr>
                <w:rFonts w:hint="default"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pl-PL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pl-PL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409" w:type="dxa"/>
          </w:tcPr>
          <w:p w14:paraId="4C4A2BEF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F59E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7" w:type="dxa"/>
            <w:shd w:val="clear" w:color="auto" w:fill="ECF1F8"/>
            <w:vAlign w:val="top"/>
          </w:tcPr>
          <w:p w14:paraId="37E169F7">
            <w:pPr>
              <w:spacing w:after="0"/>
              <w:ind w:left="11" w:leftChars="0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Times New Roman" w:cs="Calibri"/>
                <w:sz w:val="20"/>
              </w:rPr>
              <w:t xml:space="preserve">K03 </w:t>
            </w:r>
          </w:p>
        </w:tc>
        <w:tc>
          <w:tcPr>
            <w:tcW w:w="408" w:type="dxa"/>
            <w:shd w:val="clear" w:color="auto" w:fill="F1F1F1" w:themeFill="background1" w:themeFillShade="F2"/>
          </w:tcPr>
          <w:p w14:paraId="26E60B50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9" w:type="dxa"/>
            <w:shd w:val="clear" w:color="auto" w:fill="F1F1F1" w:themeFill="background1" w:themeFillShade="F2"/>
          </w:tcPr>
          <w:p w14:paraId="6E29DB3A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9" w:type="dxa"/>
            <w:shd w:val="clear" w:color="auto" w:fill="F1F1F1" w:themeFill="background1" w:themeFillShade="F2"/>
          </w:tcPr>
          <w:p w14:paraId="63D76CE8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9" w:type="dxa"/>
          </w:tcPr>
          <w:p w14:paraId="40230A79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9" w:type="dxa"/>
          </w:tcPr>
          <w:p w14:paraId="0A738B8C">
            <w:pPr>
              <w:pStyle w:val="9"/>
              <w:spacing w:line="276" w:lineRule="auto"/>
              <w:jc w:val="center"/>
              <w:rPr>
                <w:rFonts w:hint="default"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pl-PL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pl-PL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409" w:type="dxa"/>
          </w:tcPr>
          <w:p w14:paraId="1F61FC49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9" w:type="dxa"/>
            <w:shd w:val="clear" w:color="auto" w:fill="F1F1F1" w:themeFill="background1" w:themeFillShade="F2"/>
          </w:tcPr>
          <w:p w14:paraId="7CDB82CB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8" w:type="dxa"/>
            <w:shd w:val="clear" w:color="auto" w:fill="F1F1F1" w:themeFill="background1" w:themeFillShade="F2"/>
          </w:tcPr>
          <w:p w14:paraId="2F13A4BE">
            <w:pPr>
              <w:pStyle w:val="9"/>
              <w:spacing w:line="276" w:lineRule="auto"/>
              <w:jc w:val="center"/>
              <w:rPr>
                <w:rFonts w:hint="default"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pl-PL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pl-PL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409" w:type="dxa"/>
            <w:shd w:val="clear" w:color="auto" w:fill="F1F1F1" w:themeFill="background1" w:themeFillShade="F2"/>
          </w:tcPr>
          <w:p w14:paraId="1F509EE3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9" w:type="dxa"/>
          </w:tcPr>
          <w:p w14:paraId="0CE48064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9" w:type="dxa"/>
          </w:tcPr>
          <w:p w14:paraId="5F14035A">
            <w:pPr>
              <w:pStyle w:val="9"/>
              <w:spacing w:line="276" w:lineRule="auto"/>
              <w:jc w:val="center"/>
              <w:rPr>
                <w:rFonts w:hint="default"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pl-PL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pl-PL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409" w:type="dxa"/>
          </w:tcPr>
          <w:p w14:paraId="40AD6933">
            <w:pPr>
              <w:pStyle w:val="9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227CCAB6">
      <w:pPr>
        <w:pStyle w:val="5"/>
        <w:spacing w:before="120" w:after="120" w:line="276" w:lineRule="auto"/>
        <w:rPr>
          <w:rFonts w:asciiTheme="minorHAnsi" w:hAnsiTheme="minorHAnsi" w:cstheme="minorHAnsi"/>
          <w:b w:val="0"/>
          <w:bCs w:val="0"/>
          <w:i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Theme="minorHAnsi" w:hAnsiTheme="minorHAnsi" w:cstheme="minorHAnsi"/>
          <w:iCs/>
          <w:color w:val="000000" w:themeColor="text1"/>
          <w14:textFill>
            <w14:solidFill>
              <w14:schemeClr w14:val="tx1"/>
            </w14:solidFill>
          </w14:textFill>
        </w:rPr>
        <w:t>Adnotacja. 1: forma zajęć; 2: efekty uczenia się</w:t>
      </w:r>
    </w:p>
    <w:p w14:paraId="5778E9EE">
      <w:pPr>
        <w:spacing w:after="0"/>
      </w:pPr>
      <w:r>
        <w:tab/>
      </w:r>
      <w:r>
        <w:rPr>
          <w:b/>
          <w:sz w:val="20"/>
        </w:rPr>
        <w:t xml:space="preserve"> </w:t>
      </w:r>
    </w:p>
    <w:p w14:paraId="54B33750">
      <w:pPr>
        <w:numPr>
          <w:ilvl w:val="1"/>
          <w:numId w:val="1"/>
        </w:numPr>
        <w:spacing w:after="131" w:line="268" w:lineRule="auto"/>
        <w:ind w:hanging="566"/>
      </w:pPr>
      <w:r>
        <w:rPr>
          <w:b/>
          <w:sz w:val="24"/>
        </w:rPr>
        <w:t xml:space="preserve">Kryteria oceny stopnia osiągnięcia efektów uczenia się </w:t>
      </w:r>
    </w:p>
    <w:p w14:paraId="1C9B424C">
      <w:pPr>
        <w:pStyle w:val="9"/>
        <w:spacing w:before="120" w:line="276" w:lineRule="auto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Theme="minorHAnsi" w:hAnsiTheme="minorHAnsi" w:cstheme="minorHAnsi"/>
          <w:b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Forma zajęć:</w:t>
      </w:r>
    </w:p>
    <w:p w14:paraId="1654DDE0">
      <w:pPr>
        <w:pStyle w:val="9"/>
        <w:spacing w:after="120" w:line="276" w:lineRule="auto"/>
        <w:ind w:firstLine="360" w:firstLineChars="150"/>
        <w:jc w:val="left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Theme="minorHAnsi" w:hAnsiTheme="minorHAnsi" w:cstheme="minorHAnsi"/>
          <w:b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WYKŁAD (W) 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1"/>
        <w:gridCol w:w="8878"/>
      </w:tblGrid>
      <w:tr w14:paraId="2B9DE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1" w:type="dxa"/>
          </w:tcPr>
          <w:p w14:paraId="30D70180">
            <w:pPr>
              <w:pStyle w:val="5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Ocena</w:t>
            </w:r>
          </w:p>
        </w:tc>
        <w:tc>
          <w:tcPr>
            <w:tcW w:w="8878" w:type="dxa"/>
          </w:tcPr>
          <w:p w14:paraId="02C20522">
            <w:pPr>
              <w:pStyle w:val="5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Kryterium oceny</w:t>
            </w:r>
          </w:p>
        </w:tc>
      </w:tr>
      <w:tr w14:paraId="360DD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1" w:type="dxa"/>
          </w:tcPr>
          <w:p w14:paraId="3B37FF38">
            <w:pPr>
              <w:pStyle w:val="5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3,0</w:t>
            </w:r>
          </w:p>
        </w:tc>
        <w:tc>
          <w:tcPr>
            <w:tcW w:w="8878" w:type="dxa"/>
            <w:vAlign w:val="top"/>
          </w:tcPr>
          <w:p w14:paraId="60D3CFC4">
            <w:pPr>
              <w:spacing w:after="0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Times New Roman" w:cs="Calibri"/>
                <w:sz w:val="21"/>
                <w:szCs w:val="21"/>
              </w:rPr>
              <w:t xml:space="preserve">Zaliczenie </w:t>
            </w:r>
            <w:r>
              <w:rPr>
                <w:rFonts w:hint="default" w:eastAsia="Times New Roman" w:cs="Calibri"/>
                <w:sz w:val="21"/>
                <w:szCs w:val="21"/>
                <w:lang w:val="pl-PL"/>
              </w:rPr>
              <w:t xml:space="preserve">kolokwium </w:t>
            </w:r>
            <w:r>
              <w:rPr>
                <w:rFonts w:hint="default" w:ascii="Calibri" w:hAnsi="Calibri" w:eastAsia="Times New Roman" w:cs="Calibri"/>
                <w:sz w:val="21"/>
                <w:szCs w:val="21"/>
              </w:rPr>
              <w:t xml:space="preserve">weryfikującego wiedzę i osiągnięcie w sumie rezultatu na poziomie od 51% do 60 % maksymalnej liczby punktów </w:t>
            </w:r>
          </w:p>
        </w:tc>
      </w:tr>
      <w:tr w14:paraId="43B0F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1" w:type="dxa"/>
          </w:tcPr>
          <w:p w14:paraId="793FAA66">
            <w:pPr>
              <w:pStyle w:val="5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3,5</w:t>
            </w:r>
          </w:p>
        </w:tc>
        <w:tc>
          <w:tcPr>
            <w:tcW w:w="8878" w:type="dxa"/>
            <w:vAlign w:val="top"/>
          </w:tcPr>
          <w:p w14:paraId="04CBA1EF">
            <w:pPr>
              <w:spacing w:after="0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Times New Roman" w:cs="Calibri"/>
                <w:sz w:val="21"/>
                <w:szCs w:val="21"/>
              </w:rPr>
              <w:t xml:space="preserve">Zaliczenie </w:t>
            </w:r>
            <w:r>
              <w:rPr>
                <w:rFonts w:hint="default" w:eastAsia="Times New Roman" w:cs="Calibri"/>
                <w:sz w:val="21"/>
                <w:szCs w:val="21"/>
                <w:lang w:val="pl-PL"/>
              </w:rPr>
              <w:t>kolokwium</w:t>
            </w:r>
            <w:r>
              <w:rPr>
                <w:rFonts w:hint="default" w:ascii="Calibri" w:hAnsi="Calibri" w:eastAsia="Times New Roman" w:cs="Calibri"/>
                <w:sz w:val="21"/>
                <w:szCs w:val="21"/>
              </w:rPr>
              <w:t xml:space="preserve"> weryfikującego wiedzę i osiągnięcie w sumie rezultatu na poziomie od 61% do 70 % maksymalnej liczby punktów </w:t>
            </w:r>
          </w:p>
        </w:tc>
      </w:tr>
      <w:tr w14:paraId="080D4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1" w:type="dxa"/>
          </w:tcPr>
          <w:p w14:paraId="565AED97">
            <w:pPr>
              <w:pStyle w:val="5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4,0</w:t>
            </w:r>
          </w:p>
        </w:tc>
        <w:tc>
          <w:tcPr>
            <w:tcW w:w="8878" w:type="dxa"/>
            <w:vAlign w:val="top"/>
          </w:tcPr>
          <w:p w14:paraId="71EE0E33">
            <w:pPr>
              <w:spacing w:after="0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Times New Roman" w:cs="Calibri"/>
                <w:sz w:val="21"/>
                <w:szCs w:val="21"/>
              </w:rPr>
              <w:t xml:space="preserve">Zaliczenie </w:t>
            </w:r>
            <w:r>
              <w:rPr>
                <w:rFonts w:hint="default" w:eastAsia="Times New Roman" w:cs="Calibri"/>
                <w:sz w:val="21"/>
                <w:szCs w:val="21"/>
                <w:lang w:val="pl-PL"/>
              </w:rPr>
              <w:t>kolokwium</w:t>
            </w:r>
            <w:r>
              <w:rPr>
                <w:rFonts w:hint="default" w:ascii="Calibri" w:hAnsi="Calibri" w:eastAsia="Times New Roman" w:cs="Calibri"/>
                <w:sz w:val="21"/>
                <w:szCs w:val="21"/>
              </w:rPr>
              <w:t xml:space="preserve"> weryfikującego wiedzę i osiągnięcie w sumie rezultatu na poziomie od 71%  do 80 % maksymalnej liczby punktów </w:t>
            </w:r>
          </w:p>
        </w:tc>
      </w:tr>
      <w:tr w14:paraId="0CBF9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1" w:type="dxa"/>
          </w:tcPr>
          <w:p w14:paraId="3BE0EB54">
            <w:pPr>
              <w:pStyle w:val="5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4,5</w:t>
            </w:r>
          </w:p>
        </w:tc>
        <w:tc>
          <w:tcPr>
            <w:tcW w:w="8878" w:type="dxa"/>
            <w:vAlign w:val="top"/>
          </w:tcPr>
          <w:p w14:paraId="40B23602">
            <w:pPr>
              <w:spacing w:after="0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Times New Roman" w:cs="Calibri"/>
                <w:sz w:val="21"/>
                <w:szCs w:val="21"/>
              </w:rPr>
              <w:t xml:space="preserve">Zaliczenie </w:t>
            </w:r>
            <w:r>
              <w:rPr>
                <w:rFonts w:hint="default" w:eastAsia="Times New Roman" w:cs="Calibri"/>
                <w:sz w:val="21"/>
                <w:szCs w:val="21"/>
                <w:lang w:val="pl-PL"/>
              </w:rPr>
              <w:t>kolokwium</w:t>
            </w:r>
            <w:r>
              <w:rPr>
                <w:rFonts w:hint="default" w:ascii="Calibri" w:hAnsi="Calibri" w:eastAsia="Times New Roman" w:cs="Calibri"/>
                <w:sz w:val="21"/>
                <w:szCs w:val="21"/>
              </w:rPr>
              <w:t xml:space="preserve"> weryfikującego wiedzę i osiągnięcie w sumie rezultatu na poziomie od 81% do 90 % maksymalnej liczby punktów, aktywne uczestnictwo w dyskusjach podczas wykładów </w:t>
            </w:r>
          </w:p>
        </w:tc>
      </w:tr>
      <w:tr w14:paraId="45A29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1" w:type="dxa"/>
          </w:tcPr>
          <w:p w14:paraId="412B1FD9">
            <w:pPr>
              <w:pStyle w:val="5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5,0</w:t>
            </w:r>
          </w:p>
        </w:tc>
        <w:tc>
          <w:tcPr>
            <w:tcW w:w="8878" w:type="dxa"/>
            <w:vAlign w:val="top"/>
          </w:tcPr>
          <w:p w14:paraId="67D20E0D">
            <w:pPr>
              <w:spacing w:after="0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Times New Roman" w:cs="Calibri"/>
                <w:sz w:val="21"/>
                <w:szCs w:val="21"/>
              </w:rPr>
              <w:t xml:space="preserve">Zaliczenie </w:t>
            </w:r>
            <w:r>
              <w:rPr>
                <w:rFonts w:hint="default" w:eastAsia="Times New Roman" w:cs="Calibri"/>
                <w:sz w:val="21"/>
                <w:szCs w:val="21"/>
                <w:lang w:val="pl-PL"/>
              </w:rPr>
              <w:t xml:space="preserve">kolokwium </w:t>
            </w:r>
            <w:r>
              <w:rPr>
                <w:rFonts w:hint="default" w:ascii="Calibri" w:hAnsi="Calibri" w:eastAsia="Times New Roman" w:cs="Calibri"/>
                <w:sz w:val="21"/>
                <w:szCs w:val="21"/>
              </w:rPr>
              <w:t xml:space="preserve">weryfikującego wiedzę i osiągnięcie  w sumie rezultatu na poziomie od 91% do 100 % maksymalnej liczby punktów, aktywne uczestnictwo w dyskusjach podczas wykładów </w:t>
            </w:r>
          </w:p>
        </w:tc>
      </w:tr>
    </w:tbl>
    <w:p w14:paraId="747BF32C">
      <w:pPr>
        <w:pStyle w:val="9"/>
        <w:spacing w:before="120" w:line="276" w:lineRule="auto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Theme="minorHAnsi" w:hAnsiTheme="minorHAnsi" w:cstheme="minorHAnsi"/>
          <w:b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Forma zajęć:</w:t>
      </w:r>
    </w:p>
    <w:p w14:paraId="426B979E">
      <w:pPr>
        <w:pStyle w:val="9"/>
        <w:spacing w:after="120" w:line="276" w:lineRule="auto"/>
        <w:ind w:firstLine="360" w:firstLineChars="150"/>
        <w:jc w:val="left"/>
        <w:rPr>
          <w:rFonts w:asciiTheme="minorHAnsi" w:hAnsiTheme="minorHAnsi" w:cstheme="minorHAnsi"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Theme="minorHAnsi" w:hAnsiTheme="minorHAnsi" w:cstheme="minorHAnsi"/>
          <w:b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ĆWICZENIA (C) 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3"/>
        <w:gridCol w:w="8870"/>
      </w:tblGrid>
      <w:tr w14:paraId="36B28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3" w:type="dxa"/>
          </w:tcPr>
          <w:p w14:paraId="0ED888A3">
            <w:pPr>
              <w:pStyle w:val="5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Ocena</w:t>
            </w:r>
          </w:p>
        </w:tc>
        <w:tc>
          <w:tcPr>
            <w:tcW w:w="8870" w:type="dxa"/>
          </w:tcPr>
          <w:p w14:paraId="49B61270">
            <w:pPr>
              <w:pStyle w:val="5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Kryterium oceny</w:t>
            </w:r>
          </w:p>
        </w:tc>
      </w:tr>
      <w:tr w14:paraId="03BE7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3" w:type="dxa"/>
          </w:tcPr>
          <w:p w14:paraId="097D93F3">
            <w:pPr>
              <w:pStyle w:val="5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3,0</w:t>
            </w:r>
          </w:p>
        </w:tc>
        <w:tc>
          <w:tcPr>
            <w:tcW w:w="8870" w:type="dxa"/>
            <w:vAlign w:val="top"/>
          </w:tcPr>
          <w:p w14:paraId="391A690F">
            <w:pPr>
              <w:spacing w:after="0"/>
              <w:rPr>
                <w:rFonts w:hint="default" w:asciiTheme="minorHAnsi" w:hAnsiTheme="minorHAnsi" w:cstheme="minorHAnsi"/>
                <w:iCs/>
                <w:color w:val="000000" w:themeColor="text1"/>
                <w:sz w:val="21"/>
                <w:szCs w:val="21"/>
                <w:lang w:val="pl-PL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Times New Roman" w:cs="Calibri"/>
                <w:sz w:val="21"/>
                <w:szCs w:val="21"/>
              </w:rPr>
              <w:t xml:space="preserve"> od 51%  do 60 % </w:t>
            </w:r>
            <w:r>
              <w:rPr>
                <w:rFonts w:hint="default" w:ascii="Calibri" w:hAnsi="Calibri" w:cs="Calibri"/>
                <w:sz w:val="21"/>
                <w:szCs w:val="21"/>
                <w:lang w:val="pl-PL"/>
              </w:rPr>
              <w:t>punktów za zadania stawiane studentowi podczas zajęć</w:t>
            </w:r>
          </w:p>
        </w:tc>
      </w:tr>
      <w:tr w14:paraId="194DA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3" w:type="dxa"/>
          </w:tcPr>
          <w:p w14:paraId="22A6F65B">
            <w:pPr>
              <w:pStyle w:val="5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3,5</w:t>
            </w:r>
          </w:p>
        </w:tc>
        <w:tc>
          <w:tcPr>
            <w:tcW w:w="8870" w:type="dxa"/>
            <w:vAlign w:val="top"/>
          </w:tcPr>
          <w:p w14:paraId="778E5A60">
            <w:pPr>
              <w:spacing w:after="0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Times New Roman" w:cs="Calibri"/>
                <w:sz w:val="21"/>
                <w:szCs w:val="21"/>
              </w:rPr>
              <w:t xml:space="preserve"> od 61%  d</w:t>
            </w:r>
            <w:bookmarkStart w:id="0" w:name="_GoBack"/>
            <w:bookmarkEnd w:id="0"/>
            <w:r>
              <w:rPr>
                <w:rFonts w:hint="default" w:ascii="Calibri" w:hAnsi="Calibri" w:eastAsia="Times New Roman" w:cs="Calibri"/>
                <w:sz w:val="21"/>
                <w:szCs w:val="21"/>
              </w:rPr>
              <w:t xml:space="preserve">o 70 %  </w:t>
            </w:r>
            <w:r>
              <w:rPr>
                <w:rFonts w:hint="default" w:ascii="Calibri" w:hAnsi="Calibri" w:cs="Calibri"/>
                <w:sz w:val="21"/>
                <w:szCs w:val="21"/>
                <w:lang w:val="pl-PL"/>
              </w:rPr>
              <w:t>punktów za zadania stawiane studentowi podczas zajęć</w:t>
            </w:r>
          </w:p>
        </w:tc>
      </w:tr>
      <w:tr w14:paraId="30C6E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3" w:type="dxa"/>
          </w:tcPr>
          <w:p w14:paraId="673D84CC">
            <w:pPr>
              <w:pStyle w:val="5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4,0</w:t>
            </w:r>
          </w:p>
        </w:tc>
        <w:tc>
          <w:tcPr>
            <w:tcW w:w="8870" w:type="dxa"/>
            <w:vAlign w:val="top"/>
          </w:tcPr>
          <w:p w14:paraId="02214917">
            <w:pPr>
              <w:spacing w:after="0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Times New Roman" w:cs="Calibri"/>
                <w:sz w:val="21"/>
                <w:szCs w:val="21"/>
              </w:rPr>
              <w:t xml:space="preserve"> od 71%  do 80 %  </w:t>
            </w:r>
            <w:r>
              <w:rPr>
                <w:rFonts w:hint="default" w:ascii="Calibri" w:hAnsi="Calibri" w:cs="Calibri"/>
                <w:sz w:val="21"/>
                <w:szCs w:val="21"/>
                <w:lang w:val="pl-PL"/>
              </w:rPr>
              <w:t>punktów za zadania stawiane studentowi podczas zajęć</w:t>
            </w:r>
          </w:p>
        </w:tc>
      </w:tr>
      <w:tr w14:paraId="11C78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3" w:type="dxa"/>
          </w:tcPr>
          <w:p w14:paraId="2839359D">
            <w:pPr>
              <w:pStyle w:val="5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4,5</w:t>
            </w:r>
          </w:p>
        </w:tc>
        <w:tc>
          <w:tcPr>
            <w:tcW w:w="8870" w:type="dxa"/>
            <w:vAlign w:val="top"/>
          </w:tcPr>
          <w:p w14:paraId="27B04ADE">
            <w:pPr>
              <w:spacing w:after="0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Times New Roman" w:cs="Calibri"/>
                <w:sz w:val="21"/>
                <w:szCs w:val="21"/>
              </w:rPr>
              <w:t xml:space="preserve">od 81%  do 90 %  </w:t>
            </w:r>
            <w:r>
              <w:rPr>
                <w:rFonts w:hint="default" w:ascii="Calibri" w:hAnsi="Calibri" w:cs="Calibri"/>
                <w:sz w:val="21"/>
                <w:szCs w:val="21"/>
                <w:lang w:val="pl-PL"/>
              </w:rPr>
              <w:t>punktów za zadania stawiane studentowi podczas zajęć</w:t>
            </w:r>
          </w:p>
        </w:tc>
      </w:tr>
      <w:tr w14:paraId="1E089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3" w:type="dxa"/>
          </w:tcPr>
          <w:p w14:paraId="12F6F790">
            <w:pPr>
              <w:pStyle w:val="5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5,0</w:t>
            </w:r>
          </w:p>
        </w:tc>
        <w:tc>
          <w:tcPr>
            <w:tcW w:w="8870" w:type="dxa"/>
            <w:vAlign w:val="top"/>
          </w:tcPr>
          <w:p w14:paraId="3D2E9085">
            <w:pPr>
              <w:spacing w:after="0"/>
              <w:rPr>
                <w:rFonts w:hint="default"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  <w:lang w:val="pl-PL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Times New Roman" w:cs="Calibri"/>
                <w:sz w:val="21"/>
                <w:szCs w:val="21"/>
              </w:rPr>
              <w:t xml:space="preserve">od 91% </w:t>
            </w:r>
            <w:r>
              <w:rPr>
                <w:rFonts w:hint="default" w:ascii="Calibri" w:hAnsi="Calibri" w:cs="Calibri"/>
                <w:sz w:val="21"/>
                <w:szCs w:val="21"/>
                <w:lang w:val="pl-PL"/>
              </w:rPr>
              <w:t xml:space="preserve">do 100% </w:t>
            </w:r>
            <w:r>
              <w:rPr>
                <w:rFonts w:hint="default" w:ascii="Calibri" w:hAnsi="Calibri" w:eastAsia="Times New Roman" w:cs="Calibri"/>
                <w:sz w:val="21"/>
                <w:szCs w:val="21"/>
              </w:rPr>
              <w:t xml:space="preserve"> </w:t>
            </w:r>
            <w:r>
              <w:rPr>
                <w:rFonts w:hint="default" w:ascii="Calibri" w:hAnsi="Calibri" w:cs="Calibri"/>
                <w:sz w:val="21"/>
                <w:szCs w:val="21"/>
                <w:lang w:val="pl-PL"/>
              </w:rPr>
              <w:t>punktów za zadania stawiane studentowi podczas zajęć</w:t>
            </w:r>
          </w:p>
        </w:tc>
      </w:tr>
    </w:tbl>
    <w:p w14:paraId="28A93C1F">
      <w:pPr>
        <w:numPr>
          <w:ilvl w:val="0"/>
          <w:numId w:val="0"/>
        </w:numPr>
        <w:spacing w:after="0" w:line="268" w:lineRule="auto"/>
      </w:pPr>
    </w:p>
    <w:p w14:paraId="35A3BD3E">
      <w:pPr>
        <w:numPr>
          <w:ilvl w:val="0"/>
          <w:numId w:val="1"/>
        </w:numPr>
        <w:spacing w:after="0" w:line="268" w:lineRule="auto"/>
        <w:ind w:hanging="360"/>
      </w:pPr>
      <w:r>
        <w:rPr>
          <w:b/>
          <w:sz w:val="24"/>
        </w:rPr>
        <w:t xml:space="preserve">Bilans punktów ECTS – nakład pracy studenta </w:t>
      </w:r>
    </w:p>
    <w:tbl>
      <w:tblPr>
        <w:tblStyle w:val="8"/>
        <w:tblW w:w="7674" w:type="dxa"/>
        <w:tblInd w:w="313" w:type="dxa"/>
        <w:tblLayout w:type="autofit"/>
        <w:tblCellMar>
          <w:top w:w="47" w:type="dxa"/>
          <w:left w:w="112" w:type="dxa"/>
          <w:bottom w:w="0" w:type="dxa"/>
          <w:right w:w="97" w:type="dxa"/>
        </w:tblCellMar>
      </w:tblPr>
      <w:tblGrid>
        <w:gridCol w:w="5501"/>
        <w:gridCol w:w="2173"/>
      </w:tblGrid>
      <w:tr w14:paraId="73635153">
        <w:tblPrEx>
          <w:tblCellMar>
            <w:top w:w="47" w:type="dxa"/>
            <w:left w:w="112" w:type="dxa"/>
            <w:bottom w:w="0" w:type="dxa"/>
            <w:right w:w="97" w:type="dxa"/>
          </w:tblCellMar>
        </w:tblPrEx>
        <w:trPr>
          <w:trHeight w:val="600" w:hRule="atLeast"/>
        </w:trPr>
        <w:tc>
          <w:tcPr>
            <w:tcW w:w="5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9FC591">
            <w:pPr>
              <w:spacing w:after="0"/>
              <w:ind w:right="19"/>
              <w:jc w:val="center"/>
            </w:pPr>
            <w:r>
              <w:rPr>
                <w:b/>
                <w:sz w:val="21"/>
              </w:rPr>
              <w:t>Kategoria</w:t>
            </w:r>
            <w:r>
              <w:rPr>
                <w:sz w:val="21"/>
              </w:rPr>
              <w:t xml:space="preserve"> 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6B47E8">
            <w:pPr>
              <w:spacing w:after="0"/>
              <w:jc w:val="center"/>
            </w:pPr>
            <w:r>
              <w:rPr>
                <w:b/>
                <w:sz w:val="21"/>
              </w:rPr>
              <w:t xml:space="preserve">Obciążenie studenta: studia stacjonarne </w:t>
            </w:r>
          </w:p>
        </w:tc>
      </w:tr>
      <w:tr w14:paraId="72B55923">
        <w:tblPrEx>
          <w:tblCellMar>
            <w:top w:w="47" w:type="dxa"/>
            <w:left w:w="112" w:type="dxa"/>
            <w:bottom w:w="0" w:type="dxa"/>
            <w:right w:w="97" w:type="dxa"/>
          </w:tblCellMar>
        </w:tblPrEx>
        <w:trPr>
          <w:trHeight w:val="596" w:hRule="atLeast"/>
        </w:trPr>
        <w:tc>
          <w:tcPr>
            <w:tcW w:w="5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</w:tcPr>
          <w:p w14:paraId="4433E440">
            <w:pPr>
              <w:spacing w:after="14"/>
            </w:pPr>
            <w:r>
              <w:rPr>
                <w:b/>
                <w:sz w:val="21"/>
              </w:rPr>
              <w:t xml:space="preserve">LICZBA GODZIN REALIZOWANYCH PRZY BEZPOŚREDNIM </w:t>
            </w:r>
          </w:p>
          <w:p w14:paraId="15C831E9">
            <w:pPr>
              <w:spacing w:after="0"/>
            </w:pPr>
            <w:r>
              <w:rPr>
                <w:b/>
                <w:sz w:val="21"/>
              </w:rPr>
              <w:t xml:space="preserve">UDZIALE NAUCZYCIELA (GODZINY KONTAKTOWE) 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top"/>
          </w:tcPr>
          <w:p w14:paraId="3C2F7623">
            <w:pPr>
              <w:spacing w:after="0"/>
              <w:ind w:left="8" w:leftChars="0"/>
              <w:jc w:val="center"/>
            </w:pPr>
            <w:r>
              <w:rPr>
                <w:rFonts w:hint="default" w:ascii="Calibri" w:hAnsi="Calibri" w:eastAsia="Times New Roman" w:cs="Calibri"/>
                <w:b/>
                <w:sz w:val="20"/>
              </w:rPr>
              <w:t xml:space="preserve">20 </w:t>
            </w:r>
          </w:p>
        </w:tc>
      </w:tr>
      <w:tr w14:paraId="09C96EE0">
        <w:tblPrEx>
          <w:tblCellMar>
            <w:top w:w="47" w:type="dxa"/>
            <w:left w:w="112" w:type="dxa"/>
            <w:bottom w:w="0" w:type="dxa"/>
            <w:right w:w="97" w:type="dxa"/>
          </w:tblCellMar>
        </w:tblPrEx>
        <w:trPr>
          <w:trHeight w:val="306" w:hRule="atLeast"/>
        </w:trPr>
        <w:tc>
          <w:tcPr>
            <w:tcW w:w="5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299903">
            <w:pPr>
              <w:spacing w:after="0"/>
            </w:pPr>
            <w:r>
              <w:rPr>
                <w:sz w:val="21"/>
              </w:rPr>
              <w:t>Udział w wykładach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DFE754">
            <w:pPr>
              <w:spacing w:after="0"/>
              <w:ind w:left="8" w:leftChars="0"/>
              <w:jc w:val="center"/>
            </w:pPr>
            <w:r>
              <w:rPr>
                <w:rFonts w:hint="default" w:ascii="Calibri" w:hAnsi="Calibri" w:eastAsia="Times New Roman" w:cs="Calibri"/>
                <w:sz w:val="20"/>
              </w:rPr>
              <w:t xml:space="preserve">10 </w:t>
            </w:r>
          </w:p>
        </w:tc>
      </w:tr>
      <w:tr w14:paraId="09FF9AB3">
        <w:tblPrEx>
          <w:tblCellMar>
            <w:top w:w="47" w:type="dxa"/>
            <w:left w:w="112" w:type="dxa"/>
            <w:bottom w:w="0" w:type="dxa"/>
            <w:right w:w="97" w:type="dxa"/>
          </w:tblCellMar>
        </w:tblPrEx>
        <w:trPr>
          <w:trHeight w:val="305" w:hRule="atLeast"/>
        </w:trPr>
        <w:tc>
          <w:tcPr>
            <w:tcW w:w="5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AF2F5A">
            <w:pPr>
              <w:spacing w:after="0"/>
            </w:pPr>
            <w:r>
              <w:rPr>
                <w:sz w:val="21"/>
              </w:rPr>
              <w:t>Udział w ćwiczeniach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EB852B8">
            <w:pPr>
              <w:spacing w:after="0"/>
              <w:ind w:left="8" w:leftChars="0"/>
              <w:jc w:val="center"/>
            </w:pPr>
            <w:r>
              <w:rPr>
                <w:rFonts w:hint="default" w:ascii="Calibri" w:hAnsi="Calibri" w:eastAsia="Times New Roman" w:cs="Calibri"/>
                <w:sz w:val="20"/>
              </w:rPr>
              <w:t xml:space="preserve">10 </w:t>
            </w:r>
          </w:p>
        </w:tc>
      </w:tr>
      <w:tr w14:paraId="79276FCE">
        <w:tblPrEx>
          <w:tblCellMar>
            <w:top w:w="47" w:type="dxa"/>
            <w:left w:w="112" w:type="dxa"/>
            <w:bottom w:w="0" w:type="dxa"/>
            <w:right w:w="97" w:type="dxa"/>
          </w:tblCellMar>
        </w:tblPrEx>
        <w:trPr>
          <w:trHeight w:val="598" w:hRule="atLeast"/>
        </w:trPr>
        <w:tc>
          <w:tcPr>
            <w:tcW w:w="5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</w:tcPr>
          <w:p w14:paraId="40C9CC1B">
            <w:pPr>
              <w:spacing w:after="17"/>
            </w:pPr>
            <w:r>
              <w:rPr>
                <w:b/>
                <w:sz w:val="21"/>
              </w:rPr>
              <w:t xml:space="preserve">SAMODZIELNA PRACA STUDENTA (GODZINY </w:t>
            </w:r>
          </w:p>
          <w:p w14:paraId="18A80612">
            <w:pPr>
              <w:spacing w:after="0"/>
            </w:pPr>
            <w:r>
              <w:rPr>
                <w:b/>
                <w:sz w:val="21"/>
              </w:rPr>
              <w:t xml:space="preserve">NIEKONTAKTOWE) 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top"/>
          </w:tcPr>
          <w:p w14:paraId="00FDA75A">
            <w:pPr>
              <w:spacing w:after="0"/>
              <w:ind w:left="59" w:leftChars="0"/>
              <w:jc w:val="center"/>
            </w:pPr>
            <w:r>
              <w:rPr>
                <w:rFonts w:hint="default" w:ascii="Calibri" w:hAnsi="Calibri" w:eastAsia="Times New Roman" w:cs="Calibri"/>
                <w:b/>
                <w:sz w:val="20"/>
              </w:rPr>
              <w:t xml:space="preserve">5 </w:t>
            </w:r>
          </w:p>
        </w:tc>
      </w:tr>
      <w:tr w14:paraId="001B52D2">
        <w:tblPrEx>
          <w:tblCellMar>
            <w:top w:w="47" w:type="dxa"/>
            <w:left w:w="112" w:type="dxa"/>
            <w:bottom w:w="0" w:type="dxa"/>
            <w:right w:w="97" w:type="dxa"/>
          </w:tblCellMar>
        </w:tblPrEx>
        <w:trPr>
          <w:trHeight w:val="305" w:hRule="atLeast"/>
        </w:trPr>
        <w:tc>
          <w:tcPr>
            <w:tcW w:w="5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948908">
            <w:pPr>
              <w:spacing w:after="0"/>
            </w:pPr>
            <w:r>
              <w:rPr>
                <w:sz w:val="21"/>
              </w:rPr>
              <w:t>Przygotowanie do ćwiczeń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59ACCE">
            <w:pPr>
              <w:spacing w:after="0"/>
              <w:ind w:left="30"/>
              <w:jc w:val="center"/>
            </w:pPr>
            <w:r>
              <w:rPr>
                <w:rFonts w:hint="default"/>
                <w:sz w:val="21"/>
                <w:lang w:val="pl-PL"/>
              </w:rPr>
              <w:t>1</w:t>
            </w:r>
            <w:r>
              <w:rPr>
                <w:sz w:val="21"/>
              </w:rPr>
              <w:t xml:space="preserve"> </w:t>
            </w:r>
          </w:p>
        </w:tc>
      </w:tr>
      <w:tr w14:paraId="66116670">
        <w:tblPrEx>
          <w:tblCellMar>
            <w:top w:w="47" w:type="dxa"/>
            <w:left w:w="112" w:type="dxa"/>
            <w:bottom w:w="0" w:type="dxa"/>
            <w:right w:w="97" w:type="dxa"/>
          </w:tblCellMar>
        </w:tblPrEx>
        <w:trPr>
          <w:trHeight w:val="305" w:hRule="atLeast"/>
        </w:trPr>
        <w:tc>
          <w:tcPr>
            <w:tcW w:w="5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44F83D">
            <w:pPr>
              <w:spacing w:after="0"/>
            </w:pPr>
            <w:r>
              <w:rPr>
                <w:sz w:val="21"/>
              </w:rPr>
              <w:t>Przygotowanie do egzaminu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F40D9B">
            <w:pPr>
              <w:spacing w:after="0"/>
              <w:ind w:left="30"/>
              <w:jc w:val="center"/>
              <w:rPr>
                <w:rFonts w:hint="default"/>
                <w:lang w:val="pl-PL"/>
              </w:rPr>
            </w:pPr>
            <w:r>
              <w:rPr>
                <w:sz w:val="21"/>
              </w:rPr>
              <w:t xml:space="preserve"> </w:t>
            </w:r>
            <w:r>
              <w:rPr>
                <w:rFonts w:hint="default"/>
                <w:sz w:val="21"/>
                <w:lang w:val="pl-PL"/>
              </w:rPr>
              <w:t>1</w:t>
            </w:r>
          </w:p>
        </w:tc>
      </w:tr>
      <w:tr w14:paraId="2368F9B9">
        <w:tblPrEx>
          <w:tblCellMar>
            <w:top w:w="47" w:type="dxa"/>
            <w:left w:w="112" w:type="dxa"/>
            <w:bottom w:w="0" w:type="dxa"/>
            <w:right w:w="97" w:type="dxa"/>
          </w:tblCellMar>
        </w:tblPrEx>
        <w:trPr>
          <w:trHeight w:val="305" w:hRule="atLeast"/>
        </w:trPr>
        <w:tc>
          <w:tcPr>
            <w:tcW w:w="5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93BDA4">
            <w:pPr>
              <w:spacing w:after="0"/>
            </w:pPr>
            <w:r>
              <w:rPr>
                <w:sz w:val="21"/>
              </w:rPr>
              <w:t xml:space="preserve">Zebranie materiałów do projektu, kwerenda internetowa 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DF0614">
            <w:pPr>
              <w:spacing w:after="0"/>
              <w:ind w:left="30"/>
              <w:jc w:val="center"/>
              <w:rPr>
                <w:rFonts w:hint="default"/>
                <w:lang w:val="pl-PL"/>
              </w:rPr>
            </w:pPr>
            <w:r>
              <w:rPr>
                <w:sz w:val="21"/>
              </w:rPr>
              <w:t xml:space="preserve"> </w:t>
            </w:r>
            <w:r>
              <w:rPr>
                <w:rFonts w:hint="default"/>
                <w:sz w:val="21"/>
                <w:lang w:val="pl-PL"/>
              </w:rPr>
              <w:t>1</w:t>
            </w:r>
          </w:p>
        </w:tc>
      </w:tr>
      <w:tr w14:paraId="7248EF4E">
        <w:tblPrEx>
          <w:tblCellMar>
            <w:top w:w="47" w:type="dxa"/>
            <w:left w:w="112" w:type="dxa"/>
            <w:bottom w:w="0" w:type="dxa"/>
            <w:right w:w="97" w:type="dxa"/>
          </w:tblCellMar>
        </w:tblPrEx>
        <w:trPr>
          <w:trHeight w:val="306" w:hRule="atLeast"/>
        </w:trPr>
        <w:tc>
          <w:tcPr>
            <w:tcW w:w="5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EF9F52">
            <w:pPr>
              <w:spacing w:after="0"/>
              <w:rPr>
                <w:rFonts w:hint="default"/>
                <w:lang w:val="pl-PL"/>
              </w:rPr>
            </w:pPr>
            <w:r>
              <w:rPr>
                <w:sz w:val="21"/>
              </w:rPr>
              <w:t xml:space="preserve">Inne </w:t>
            </w:r>
            <w:r>
              <w:rPr>
                <w:sz w:val="21"/>
                <w:szCs w:val="28"/>
              </w:rPr>
              <w:t>(</w:t>
            </w:r>
            <w:r>
              <w:rPr>
                <w:rFonts w:hint="default"/>
                <w:sz w:val="21"/>
                <w:szCs w:val="28"/>
                <w:lang w:val="pl-PL"/>
              </w:rPr>
              <w:t>opracowanie posteru naukowego)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BFB8B3">
            <w:pPr>
              <w:spacing w:after="0"/>
              <w:ind w:left="30"/>
              <w:jc w:val="center"/>
              <w:rPr>
                <w:rFonts w:hint="default"/>
                <w:lang w:val="pl-PL"/>
              </w:rPr>
            </w:pPr>
            <w:r>
              <w:rPr>
                <w:sz w:val="21"/>
              </w:rPr>
              <w:t xml:space="preserve"> </w:t>
            </w:r>
            <w:r>
              <w:rPr>
                <w:rFonts w:hint="default"/>
                <w:sz w:val="21"/>
                <w:lang w:val="pl-PL"/>
              </w:rPr>
              <w:t>2</w:t>
            </w:r>
          </w:p>
        </w:tc>
      </w:tr>
      <w:tr w14:paraId="2D31890D">
        <w:tblPrEx>
          <w:tblCellMar>
            <w:top w:w="47" w:type="dxa"/>
            <w:left w:w="112" w:type="dxa"/>
            <w:bottom w:w="0" w:type="dxa"/>
            <w:right w:w="97" w:type="dxa"/>
          </w:tblCellMar>
        </w:tblPrEx>
        <w:trPr>
          <w:trHeight w:val="304" w:hRule="atLeast"/>
        </w:trPr>
        <w:tc>
          <w:tcPr>
            <w:tcW w:w="5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</w:tcPr>
          <w:p w14:paraId="73117872">
            <w:pPr>
              <w:spacing w:after="0"/>
            </w:pPr>
            <w:r>
              <w:rPr>
                <w:b/>
                <w:sz w:val="21"/>
              </w:rPr>
              <w:t xml:space="preserve">ŁĄCZNA LICZBA GODZIN 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top"/>
          </w:tcPr>
          <w:p w14:paraId="0046AA06">
            <w:pPr>
              <w:spacing w:after="0"/>
              <w:ind w:left="59" w:leftChars="0"/>
              <w:jc w:val="center"/>
            </w:pPr>
            <w:r>
              <w:rPr>
                <w:rFonts w:hint="default" w:ascii="Calibri" w:hAnsi="Calibri" w:eastAsia="Times New Roman" w:cs="Calibri"/>
                <w:b/>
                <w:sz w:val="20"/>
              </w:rPr>
              <w:t xml:space="preserve">25 </w:t>
            </w:r>
          </w:p>
        </w:tc>
      </w:tr>
      <w:tr w14:paraId="689EBF19">
        <w:tblPrEx>
          <w:tblCellMar>
            <w:top w:w="47" w:type="dxa"/>
            <w:left w:w="112" w:type="dxa"/>
            <w:bottom w:w="0" w:type="dxa"/>
            <w:right w:w="97" w:type="dxa"/>
          </w:tblCellMar>
        </w:tblPrEx>
        <w:trPr>
          <w:trHeight w:val="304" w:hRule="atLeast"/>
        </w:trPr>
        <w:tc>
          <w:tcPr>
            <w:tcW w:w="5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</w:tcPr>
          <w:p w14:paraId="60637E3B">
            <w:pPr>
              <w:spacing w:after="0"/>
            </w:pPr>
            <w:r>
              <w:rPr>
                <w:b/>
                <w:sz w:val="21"/>
              </w:rPr>
              <w:t xml:space="preserve">PUNKTY ECTS za przedmiot (zajęcia) 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top"/>
          </w:tcPr>
          <w:p w14:paraId="63EE7459">
            <w:pPr>
              <w:spacing w:after="0"/>
              <w:jc w:val="center"/>
            </w:pPr>
            <w:r>
              <w:rPr>
                <w:rFonts w:hint="default" w:ascii="Calibri" w:hAnsi="Calibri" w:eastAsia="Times New Roman" w:cs="Calibri"/>
                <w:b/>
                <w:sz w:val="21"/>
              </w:rPr>
              <w:t>1</w:t>
            </w:r>
          </w:p>
        </w:tc>
      </w:tr>
    </w:tbl>
    <w:p w14:paraId="2D160810">
      <w:pPr>
        <w:spacing w:after="0"/>
        <w:ind w:left="254"/>
      </w:pPr>
      <w:r>
        <w:rPr>
          <w:b/>
          <w:sz w:val="20"/>
        </w:rPr>
        <w:t xml:space="preserve"> </w:t>
      </w:r>
    </w:p>
    <w:p w14:paraId="41400975">
      <w:pPr>
        <w:spacing w:after="602"/>
        <w:ind w:left="319"/>
      </w:pPr>
      <w:r>
        <w:rPr>
          <w:b/>
          <w:sz w:val="24"/>
        </w:rPr>
        <w:t xml:space="preserve">Przyjmuję do realizacji </w:t>
      </w:r>
      <w:r>
        <w:rPr>
          <w:sz w:val="20"/>
        </w:rPr>
        <w:t>(data i czytelne podpisy osób prowadzących przedmiot (zajęcia) w danym roku akademickim)</w:t>
      </w:r>
      <w:r>
        <w:rPr>
          <w:sz w:val="21"/>
        </w:rPr>
        <w:t xml:space="preserve"> </w:t>
      </w:r>
    </w:p>
    <w:p w14:paraId="50B79775">
      <w:pPr>
        <w:spacing w:after="0"/>
        <w:ind w:right="278"/>
        <w:jc w:val="right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………………………………………………………………………………………………………………………………………….. </w:t>
      </w:r>
    </w:p>
    <w:sectPr>
      <w:pgSz w:w="11911" w:h="16841"/>
      <w:pgMar w:top="768" w:right="716" w:bottom="757" w:left="720" w:header="708" w:footer="708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08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ptos">
    <w:altName w:val="Calibri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Yu Gothic UI">
    <w:panose1 w:val="020B0500000000000000"/>
    <w:charset w:val="80"/>
    <w:family w:val="swiss"/>
    <w:pitch w:val="default"/>
    <w:sig w:usb0="E00002FF" w:usb1="2AC7FDFF" w:usb2="00000016" w:usb3="00000000" w:csb0="2002009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6FB930A"/>
    <w:multiLevelType w:val="singleLevel"/>
    <w:tmpl w:val="E6FB930A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13E1FD76"/>
    <w:multiLevelType w:val="singleLevel"/>
    <w:tmpl w:val="13E1FD76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574C57B2"/>
    <w:multiLevelType w:val="multilevel"/>
    <w:tmpl w:val="574C57B2"/>
    <w:lvl w:ilvl="0" w:tentative="0">
      <w:start w:val="1"/>
      <w:numFmt w:val="decimal"/>
      <w:lvlText w:val="%1"/>
      <w:lvlJc w:val="left"/>
      <w:pPr>
        <w:ind w:left="36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502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 w:tentative="0">
      <w:start w:val="2"/>
      <w:numFmt w:val="decimal"/>
      <w:lvlText w:val="%3."/>
      <w:lvlJc w:val="left"/>
      <w:pPr>
        <w:ind w:left="979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1363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2083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2803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3523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4243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4963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3">
    <w:nsid w:val="61B24097"/>
    <w:multiLevelType w:val="multilevel"/>
    <w:tmpl w:val="61B24097"/>
    <w:lvl w:ilvl="0" w:tentative="0">
      <w:start w:val="1"/>
      <w:numFmt w:val="decimal"/>
      <w:lvlText w:val="%1."/>
      <w:lvlJc w:val="left"/>
      <w:pPr>
        <w:ind w:left="850"/>
      </w:pPr>
      <w:rPr>
        <w:rFonts w:ascii="Calibri" w:hAnsi="Calibri" w:eastAsia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 w:tentative="0">
      <w:start w:val="1"/>
      <w:numFmt w:val="decimal"/>
      <w:lvlText w:val="%1.%2."/>
      <w:lvlJc w:val="left"/>
      <w:pPr>
        <w:ind w:left="1118"/>
      </w:pPr>
      <w:rPr>
        <w:rFonts w:ascii="Calibri" w:hAnsi="Calibri" w:eastAsia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 w:tentative="0">
      <w:start w:val="1"/>
      <w:numFmt w:val="bullet"/>
      <w:lvlText w:val="•"/>
      <w:lvlJc w:val="left"/>
      <w:pPr>
        <w:ind w:left="979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 w:tentative="0">
      <w:start w:val="1"/>
      <w:numFmt w:val="bullet"/>
      <w:lvlText w:val="•"/>
      <w:lvlJc w:val="left"/>
      <w:pPr>
        <w:ind w:left="1363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 w:tentative="0">
      <w:start w:val="1"/>
      <w:numFmt w:val="bullet"/>
      <w:lvlText w:val="o"/>
      <w:lvlJc w:val="left"/>
      <w:pPr>
        <w:ind w:left="2083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 w:tentative="0">
      <w:start w:val="1"/>
      <w:numFmt w:val="bullet"/>
      <w:lvlText w:val="▪"/>
      <w:lvlJc w:val="left"/>
      <w:pPr>
        <w:ind w:left="2803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 w:tentative="0">
      <w:start w:val="1"/>
      <w:numFmt w:val="bullet"/>
      <w:lvlText w:val="•"/>
      <w:lvlJc w:val="left"/>
      <w:pPr>
        <w:ind w:left="3523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 w:tentative="0">
      <w:start w:val="1"/>
      <w:numFmt w:val="bullet"/>
      <w:lvlText w:val="o"/>
      <w:lvlJc w:val="left"/>
      <w:pPr>
        <w:ind w:left="4243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 w:tentative="0">
      <w:start w:val="1"/>
      <w:numFmt w:val="bullet"/>
      <w:lvlText w:val="▪"/>
      <w:lvlJc w:val="left"/>
      <w:pPr>
        <w:ind w:left="4963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1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806"/>
    <w:rsid w:val="00146517"/>
    <w:rsid w:val="002068C3"/>
    <w:rsid w:val="0039653C"/>
    <w:rsid w:val="005A3806"/>
    <w:rsid w:val="00872C38"/>
    <w:rsid w:val="008D07DD"/>
    <w:rsid w:val="00BB30CA"/>
    <w:rsid w:val="00C13B0F"/>
    <w:rsid w:val="00C2178A"/>
    <w:rsid w:val="00FF5543"/>
    <w:rsid w:val="044F5253"/>
    <w:rsid w:val="373F3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color w:val="000000"/>
      <w:kern w:val="2"/>
      <w:sz w:val="22"/>
      <w:szCs w:val="24"/>
      <w:lang w:val="pl-PL" w:eastAsia="pl-PL" w:bidi="ar-SA"/>
      <w14:ligatures w14:val="standardContextual"/>
    </w:rPr>
  </w:style>
  <w:style w:type="paragraph" w:styleId="2">
    <w:name w:val="heading 1"/>
    <w:next w:val="1"/>
    <w:link w:val="7"/>
    <w:qFormat/>
    <w:uiPriority w:val="9"/>
    <w:pPr>
      <w:keepNext/>
      <w:keepLines/>
      <w:spacing w:after="314" w:line="259" w:lineRule="auto"/>
      <w:ind w:right="7"/>
      <w:jc w:val="center"/>
      <w:outlineLvl w:val="0"/>
    </w:pPr>
    <w:rPr>
      <w:rFonts w:ascii="Calibri" w:hAnsi="Calibri" w:eastAsia="Calibri" w:cs="Calibri"/>
      <w:b/>
      <w:color w:val="000000"/>
      <w:kern w:val="2"/>
      <w:sz w:val="32"/>
      <w:szCs w:val="24"/>
      <w:lang w:val="pl-PL" w:eastAsia="pl-PL" w:bidi="ar-SA"/>
      <w14:ligatures w14:val="standardContextual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b/>
      <w:bCs/>
      <w:sz w:val="20"/>
      <w:szCs w:val="20"/>
    </w:rPr>
  </w:style>
  <w:style w:type="table" w:styleId="6">
    <w:name w:val="Table Grid"/>
    <w:basedOn w:val="4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Nagłówek 1 Znak"/>
    <w:link w:val="2"/>
    <w:qFormat/>
    <w:uiPriority w:val="0"/>
    <w:rPr>
      <w:rFonts w:ascii="Calibri" w:hAnsi="Calibri" w:eastAsia="Calibri" w:cs="Calibri"/>
      <w:b/>
      <w:color w:val="000000"/>
      <w:sz w:val="32"/>
    </w:rPr>
  </w:style>
  <w:style w:type="table" w:customStyle="1" w:styleId="8">
    <w:name w:val="TableGrid"/>
    <w:qFormat/>
    <w:uiPriority w:val="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654</Words>
  <Characters>4716</Characters>
  <Lines>28</Lines>
  <Paragraphs>7</Paragraphs>
  <TotalTime>16</TotalTime>
  <ScaleCrop>false</ScaleCrop>
  <LinksUpToDate>false</LinksUpToDate>
  <CharactersWithSpaces>5368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2026-06-19T11:42:00Z</dcterms:created>
  <dc:creator>Rektor UJK</dc:creator>
  <cp:keywords>Zarządzenie nr 189-2025 Budowa programu studiów Załącznik nr 4</cp:keywords>
  <cp:lastModifiedBy>Inga Staszowska</cp:lastModifiedBy>
  <dcterms:modified xsi:type="dcterms:W3CDTF">2026-06-25T22:18:00Z</dcterms:modified>
  <dc:title>Zarządzenie nr 189-2025 Budowa programu studiów Załącznik nr 4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eyJoZGlkIjoiYTJhYTgxNjg4ZjI0NTI5NTgwNTU3Njc0ODZiNGJiMGIiLCJ1c2VySWQiOiIzMDQxMzM4MDAyNjk5In0=</vt:lpwstr>
  </property>
  <property fmtid="{D5CDD505-2E9C-101B-9397-08002B2CF9AE}" pid="3" name="KSOProductBuildVer">
    <vt:lpwstr>1045-12.1.0.26880</vt:lpwstr>
  </property>
  <property fmtid="{D5CDD505-2E9C-101B-9397-08002B2CF9AE}" pid="4" name="ICV">
    <vt:lpwstr>DF75F9E168FC4ACE899DAF4BE9131602_13</vt:lpwstr>
  </property>
</Properties>
</file>