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DA9" w:rsidRPr="00E30DA9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E30DA9">
        <w:rPr>
          <w:rFonts w:asciiTheme="minorHAnsi" w:hAnsiTheme="minorHAnsi" w:cstheme="minorHAnsi"/>
        </w:rPr>
        <w:t xml:space="preserve">Załącznik nr 4 do zarządzenia nr 189/2025 </w:t>
      </w:r>
    </w:p>
    <w:p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805C69" w:rsidRPr="00805C69">
        <w:rPr>
          <w:b w:val="0"/>
          <w:bCs w:val="0"/>
        </w:rPr>
        <w:t xml:space="preserve"> </w:t>
      </w:r>
      <w:r w:rsidR="005A015E" w:rsidRPr="005A015E">
        <w:rPr>
          <w:rFonts w:asciiTheme="minorHAnsi" w:hAnsiTheme="minorHAnsi" w:cstheme="minorHAnsi"/>
          <w:b w:val="0"/>
          <w:bCs w:val="0"/>
          <w:sz w:val="24"/>
          <w:szCs w:val="24"/>
        </w:rPr>
        <w:t>0923.3PS1.F.TPS</w:t>
      </w:r>
    </w:p>
    <w:p w:rsidR="004501ED" w:rsidRPr="00D11DCF" w:rsidRDefault="004838B3" w:rsidP="00D11DCF">
      <w:pPr>
        <w:pStyle w:val="Nagwek3"/>
        <w:spacing w:line="276" w:lineRule="auto"/>
        <w:ind w:firstLine="426"/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805C69" w:rsidRPr="00805C69">
        <w:t xml:space="preserve"> </w:t>
      </w:r>
      <w:r w:rsidR="005A015E" w:rsidRPr="005A015E">
        <w:rPr>
          <w:rFonts w:asciiTheme="minorHAnsi" w:hAnsiTheme="minorHAnsi" w:cstheme="minorHAnsi"/>
          <w:color w:val="auto"/>
        </w:rPr>
        <w:t>Tanatopedagogika w pracy socjalnej</w:t>
      </w:r>
    </w:p>
    <w:p w:rsidR="004838B3" w:rsidRPr="002579A7" w:rsidRDefault="004838B3" w:rsidP="002579A7">
      <w:pPr>
        <w:pStyle w:val="Styl1"/>
        <w:spacing w:line="276" w:lineRule="auto"/>
        <w:ind w:firstLine="426"/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805C69" w:rsidRPr="00805C69">
        <w:t xml:space="preserve"> </w:t>
      </w:r>
      <w:r w:rsidR="005A015E" w:rsidRPr="005A015E">
        <w:t>Tanatopedagogika in social work</w:t>
      </w:r>
    </w:p>
    <w:p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805C69" w:rsidRPr="00341AC4" w:rsidTr="004C2D66">
        <w:trPr>
          <w:trHeight w:val="282"/>
          <w:jc w:val="center"/>
        </w:trPr>
        <w:tc>
          <w:tcPr>
            <w:tcW w:w="4742" w:type="dxa"/>
          </w:tcPr>
          <w:p w:rsidR="00805C69" w:rsidRPr="00341AC4" w:rsidRDefault="00805C69" w:rsidP="006B14D2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:rsidR="00805C69" w:rsidRPr="003522AC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Praca socjalna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6B14D2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:rsidR="00805C69" w:rsidRPr="003522AC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Stacjonarne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6B14D2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:rsidR="00805C69" w:rsidRPr="003522AC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Pierwszego stopnia - licencjackie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6B14D2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:rsidR="00805C69" w:rsidRPr="003522AC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Praktyczny</w:t>
            </w:r>
          </w:p>
        </w:tc>
      </w:tr>
      <w:tr w:rsidR="00805C69" w:rsidRPr="00341AC4" w:rsidTr="004C2D66">
        <w:trPr>
          <w:trHeight w:val="282"/>
          <w:jc w:val="center"/>
        </w:trPr>
        <w:tc>
          <w:tcPr>
            <w:tcW w:w="4742" w:type="dxa"/>
          </w:tcPr>
          <w:p w:rsidR="00805C69" w:rsidRPr="00341AC4" w:rsidRDefault="00805C69" w:rsidP="006B14D2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:rsidR="00805C69" w:rsidRPr="003522AC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Dr Tomasz Łączek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6B14D2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:rsidR="00805C69" w:rsidRPr="003522AC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tomasz.laczek@ujk.edu.pl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805C69" w:rsidRPr="00341AC4" w:rsidTr="00363F81">
        <w:trPr>
          <w:trHeight w:val="285"/>
          <w:jc w:val="center"/>
        </w:trPr>
        <w:tc>
          <w:tcPr>
            <w:tcW w:w="3467" w:type="dxa"/>
          </w:tcPr>
          <w:p w:rsidR="00805C69" w:rsidRPr="00341AC4" w:rsidRDefault="00805C69" w:rsidP="006B14D2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:rsidR="00805C69" w:rsidRPr="003522AC" w:rsidRDefault="00F03A6F" w:rsidP="00805C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805C69" w:rsidRPr="003522AC">
              <w:rPr>
                <w:rFonts w:asciiTheme="minorHAnsi" w:hAnsiTheme="minorHAnsi" w:cstheme="minorHAnsi"/>
              </w:rPr>
              <w:t>olski</w:t>
            </w:r>
          </w:p>
        </w:tc>
      </w:tr>
      <w:tr w:rsidR="00805C69" w:rsidRPr="00341AC4" w:rsidTr="00363F81">
        <w:trPr>
          <w:trHeight w:val="282"/>
          <w:jc w:val="center"/>
        </w:trPr>
        <w:tc>
          <w:tcPr>
            <w:tcW w:w="3467" w:type="dxa"/>
          </w:tcPr>
          <w:p w:rsidR="00805C69" w:rsidRPr="00341AC4" w:rsidRDefault="00805C69" w:rsidP="006B14D2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:rsidR="00805C69" w:rsidRPr="00072B99" w:rsidRDefault="005A015E" w:rsidP="00805C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Podstawowe wiadomości z zakresu pedagogiki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805C69" w:rsidRPr="00341AC4" w:rsidTr="00402BCD">
        <w:trPr>
          <w:trHeight w:val="285"/>
          <w:jc w:val="center"/>
        </w:trPr>
        <w:tc>
          <w:tcPr>
            <w:tcW w:w="3466" w:type="dxa"/>
          </w:tcPr>
          <w:p w:rsidR="00805C69" w:rsidRPr="00341AC4" w:rsidRDefault="00805C69" w:rsidP="006B14D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:rsidR="00805C69" w:rsidRPr="003522AC" w:rsidRDefault="005A015E" w:rsidP="00805C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Ć</w:t>
            </w:r>
            <w:r w:rsidR="00DC6F08">
              <w:rPr>
                <w:rFonts w:asciiTheme="minorHAnsi" w:hAnsiTheme="minorHAnsi" w:cstheme="minorHAnsi"/>
              </w:rPr>
              <w:t>wiczenia</w:t>
            </w:r>
          </w:p>
        </w:tc>
      </w:tr>
      <w:tr w:rsidR="00805C69" w:rsidRPr="00341AC4" w:rsidTr="00402BCD">
        <w:trPr>
          <w:trHeight w:val="282"/>
          <w:jc w:val="center"/>
        </w:trPr>
        <w:tc>
          <w:tcPr>
            <w:tcW w:w="3466" w:type="dxa"/>
          </w:tcPr>
          <w:p w:rsidR="00805C69" w:rsidRPr="00341AC4" w:rsidRDefault="00805C69" w:rsidP="006B14D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:rsidR="00805C69" w:rsidRPr="003522AC" w:rsidRDefault="00805C69" w:rsidP="00805C69">
            <w:pPr>
              <w:rPr>
                <w:rFonts w:asciiTheme="minorHAnsi" w:hAnsiTheme="minorHAnsi" w:cstheme="minorHAnsi"/>
              </w:rPr>
            </w:pPr>
            <w:r w:rsidRPr="003522AC">
              <w:rPr>
                <w:rFonts w:asciiTheme="minorHAnsi" w:hAnsiTheme="minorHAnsi" w:cstheme="minorHAnsi"/>
              </w:rPr>
              <w:t>Pomieszczenia dydaktyczne UJK w Kielcach</w:t>
            </w:r>
          </w:p>
        </w:tc>
      </w:tr>
      <w:tr w:rsidR="00805C69" w:rsidRPr="00341AC4" w:rsidTr="00402BCD">
        <w:trPr>
          <w:trHeight w:val="285"/>
          <w:jc w:val="center"/>
        </w:trPr>
        <w:tc>
          <w:tcPr>
            <w:tcW w:w="3466" w:type="dxa"/>
          </w:tcPr>
          <w:p w:rsidR="00805C69" w:rsidRPr="00341AC4" w:rsidRDefault="00805C69" w:rsidP="006B14D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:rsidR="00805C69" w:rsidRPr="003522AC" w:rsidRDefault="005A015E" w:rsidP="00805C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="00DC6F08">
              <w:rPr>
                <w:rFonts w:asciiTheme="minorHAnsi" w:hAnsiTheme="minorHAnsi" w:cstheme="minorHAnsi"/>
              </w:rPr>
              <w:t>aliczenie z oceną</w:t>
            </w:r>
          </w:p>
        </w:tc>
      </w:tr>
      <w:tr w:rsidR="00805C69" w:rsidRPr="00341AC4" w:rsidTr="00402BCD">
        <w:trPr>
          <w:trHeight w:val="282"/>
          <w:jc w:val="center"/>
        </w:trPr>
        <w:tc>
          <w:tcPr>
            <w:tcW w:w="3466" w:type="dxa"/>
          </w:tcPr>
          <w:p w:rsidR="00805C69" w:rsidRPr="00341AC4" w:rsidRDefault="00805C69" w:rsidP="006B14D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:rsidR="00805C69" w:rsidRPr="003522AC" w:rsidRDefault="005A015E" w:rsidP="005A01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5A015E">
              <w:rPr>
                <w:rFonts w:asciiTheme="minorHAnsi" w:hAnsiTheme="minorHAnsi" w:cstheme="minorHAnsi"/>
              </w:rPr>
              <w:t>raca w grupach, analiza przypadków</w:t>
            </w:r>
            <w:r>
              <w:rPr>
                <w:rFonts w:asciiTheme="minorHAnsi" w:hAnsiTheme="minorHAnsi" w:cstheme="minorHAnsi"/>
              </w:rPr>
              <w:t>,</w:t>
            </w:r>
            <w:r w:rsidRPr="005A015E">
              <w:rPr>
                <w:rFonts w:asciiTheme="minorHAnsi" w:hAnsiTheme="minorHAnsi" w:cstheme="minorHAnsi"/>
              </w:rPr>
              <w:t xml:space="preserve"> </w:t>
            </w:r>
            <w:r w:rsidR="002579A7">
              <w:rPr>
                <w:rFonts w:asciiTheme="minorHAnsi" w:hAnsiTheme="minorHAnsi" w:cstheme="minorHAnsi"/>
              </w:rPr>
              <w:t>dyskusja, objaśnienie</w:t>
            </w:r>
            <w:r w:rsidR="00F30720">
              <w:rPr>
                <w:rFonts w:asciiTheme="minorHAnsi" w:hAnsiTheme="minorHAnsi" w:cstheme="minorHAnsi"/>
              </w:rPr>
              <w:t>, burza mózgów</w:t>
            </w:r>
            <w:r w:rsidR="00072B99">
              <w:rPr>
                <w:rFonts w:asciiTheme="minorHAnsi" w:hAnsiTheme="minorHAnsi" w:cstheme="minorHAnsi"/>
              </w:rPr>
              <w:t xml:space="preserve">, </w:t>
            </w:r>
            <w:r w:rsidR="00072B99" w:rsidRPr="00072B99">
              <w:rPr>
                <w:rFonts w:asciiTheme="minorHAnsi" w:hAnsiTheme="minorHAnsi" w:cstheme="minorHAnsi"/>
              </w:rPr>
              <w:t>metoda projektów</w:t>
            </w:r>
          </w:p>
        </w:tc>
      </w:tr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:rsidR="005A015E" w:rsidRDefault="005A015E" w:rsidP="006B14D2">
            <w:pPr>
              <w:pStyle w:val="TableParagraph"/>
              <w:numPr>
                <w:ilvl w:val="0"/>
                <w:numId w:val="7"/>
              </w:numPr>
              <w:ind w:left="423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A01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Godawa G., Rodzina wobec nieuleczalnej choroby dzie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cka. Aspekty tanatopedagogiczne,</w:t>
            </w:r>
            <w:r w:rsidRPr="005A01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Impuls, Kraków 2018</w:t>
            </w:r>
          </w:p>
          <w:p w:rsidR="005A015E" w:rsidRDefault="005A015E" w:rsidP="006B14D2">
            <w:pPr>
              <w:pStyle w:val="TableParagraph"/>
              <w:numPr>
                <w:ilvl w:val="0"/>
                <w:numId w:val="7"/>
              </w:numPr>
              <w:ind w:left="423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A01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Seredyńska A., Wolontariusz hospicyjny w ujęciu tanatopedagogiki, Wydawnictwo Naukowe Akademii Ignatianum w Krakowie, Kraków 2021</w:t>
            </w:r>
          </w:p>
          <w:p w:rsidR="00072B99" w:rsidRPr="003A3B10" w:rsidRDefault="005A015E" w:rsidP="006B14D2">
            <w:pPr>
              <w:pStyle w:val="TableParagraph"/>
              <w:numPr>
                <w:ilvl w:val="0"/>
                <w:numId w:val="7"/>
              </w:numPr>
              <w:ind w:left="423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3B1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Szelągowska-Mironiuk A., Dziecko wobec śmierci i żałoby, Wydawnictwo: Psychologiadziecka.org</w:t>
            </w:r>
            <w:r w:rsidR="003A3B10" w:rsidRPr="003A3B1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Warszawa 2022 </w:t>
            </w:r>
          </w:p>
        </w:tc>
      </w:tr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:rsidR="001F42A6" w:rsidRDefault="005A015E" w:rsidP="006B14D2">
            <w:pPr>
              <w:pStyle w:val="TableParagraph"/>
              <w:numPr>
                <w:ilvl w:val="0"/>
                <w:numId w:val="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Hornik P., </w:t>
            </w:r>
            <w:r w:rsidRPr="005A01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Ukryty sens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. </w:t>
            </w:r>
            <w:r w:rsidRPr="005A01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Victor E. Frankl i Antoni Kępiński o cierpieniu i śmierci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Wydawnictwo Scriptum, Kraków 2024</w:t>
            </w:r>
          </w:p>
          <w:p w:rsidR="005A015E" w:rsidRDefault="00FF4506" w:rsidP="006B14D2">
            <w:pPr>
              <w:pStyle w:val="TableParagraph"/>
              <w:numPr>
                <w:ilvl w:val="0"/>
                <w:numId w:val="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F4506">
              <w:rPr>
                <w:rFonts w:asciiTheme="minorHAnsi" w:hAnsiTheme="minorHAnsi" w:cstheme="minorHAnsi"/>
                <w:sz w:val="20"/>
                <w:szCs w:val="20"/>
              </w:rPr>
              <w:t>Levine P.A., Kline M.,</w:t>
            </w:r>
            <w:r>
              <w:t xml:space="preserve"> </w:t>
            </w:r>
            <w:r w:rsidRPr="00FF450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Trauma oczami dziecka: Powrót powszedniego cudu uzdrowienia od narodzin do czasu dojrzewania, Wydawnictwo Czarna Owca, Warszawa 2026</w:t>
            </w:r>
          </w:p>
          <w:p w:rsidR="005A015E" w:rsidRPr="000148E1" w:rsidRDefault="000148E1" w:rsidP="006B14D2">
            <w:pPr>
              <w:pStyle w:val="TableParagraph"/>
              <w:numPr>
                <w:ilvl w:val="0"/>
                <w:numId w:val="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148E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Lewandowska-Walter A., Rostowska T. (red.),  Psychospołeczne konteksty relacji rodzinnych, Difin, Warszawa 2019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:rsidR="003E0703" w:rsidRDefault="003E0703" w:rsidP="006B14D2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:rsidR="00DC6F0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:rsidR="00554D43" w:rsidRDefault="00DC6F08" w:rsidP="00554D43">
      <w:pPr>
        <w:pStyle w:val="TableParagraph"/>
        <w:snapToGrid w:val="0"/>
        <w:spacing w:line="276" w:lineRule="auto"/>
        <w:ind w:left="1134"/>
      </w:pPr>
      <w:r w:rsidRPr="00DC6F0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Ćwiczenia:</w:t>
      </w:r>
      <w:r w:rsidR="00554D43" w:rsidRPr="00554D43">
        <w:t xml:space="preserve"> </w:t>
      </w:r>
    </w:p>
    <w:p w:rsidR="00554D43" w:rsidRPr="00554D43" w:rsidRDefault="00554D43" w:rsidP="00554D43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C1-</w:t>
      </w:r>
      <w:r w:rsidRPr="00554D4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zapoznanie studentów z terminologią z zakresu opieki paliatywnej i tanatologii, przebiegiem chorób przewlekłych o niepomyślnym rokowaniu, specyficznymi problemami biopsychospołecznymi chorego, wynikającymi z powyższych chorób oraz formami opieki i </w:t>
      </w:r>
      <w:r w:rsidRPr="00554D4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>wsparcia chorego i jego rodziny</w:t>
      </w:r>
    </w:p>
    <w:p w:rsidR="00554D43" w:rsidRPr="00554D43" w:rsidRDefault="006B14D2" w:rsidP="00554D43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C2-</w:t>
      </w:r>
      <w:r w:rsidR="00554D43" w:rsidRPr="00554D4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wdrażanie do samodzielnego poszukiwania optymalnych rozwiązań w pracy pomocowej pracownika socjalnego w sytuacji śmierci i okresu żałoby członka rod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ziny w środowisku podopiecznych</w:t>
      </w:r>
    </w:p>
    <w:p w:rsidR="00DC6F08" w:rsidRPr="00DC6F08" w:rsidRDefault="006B14D2" w:rsidP="00554D43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C3-</w:t>
      </w:r>
      <w:r w:rsidR="00554D43" w:rsidRPr="00554D4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uwrażliwienie studentów na potrzeby osób terminalnie  chorych i ich bliskich w okresie choroby i umierania żałoby</w:t>
      </w:r>
    </w:p>
    <w:p w:rsidR="00DC6F08" w:rsidRPr="00805C69" w:rsidRDefault="00DC6F08" w:rsidP="00DC6F08">
      <w:pPr>
        <w:pStyle w:val="TableParagraph"/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:rsidR="003E0703" w:rsidRPr="00341AC4" w:rsidRDefault="003E0703" w:rsidP="006B14D2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:rsidR="00DC6F08" w:rsidRPr="00DC6F08" w:rsidRDefault="00DC6F08" w:rsidP="006851AD">
      <w:pPr>
        <w:pStyle w:val="TableParagraph"/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:rsidR="00805C69" w:rsidRPr="00805C69" w:rsidRDefault="00805C69" w:rsidP="006B14D2">
      <w:pPr>
        <w:pStyle w:val="Table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5C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i warunkami </w:t>
      </w:r>
      <w:r w:rsidR="00DC6F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uzyskania </w:t>
      </w:r>
      <w:r w:rsidRPr="00805C69">
        <w:rPr>
          <w:rFonts w:asciiTheme="minorHAnsi" w:hAnsiTheme="minorHAnsi" w:cstheme="minorHAnsi"/>
          <w:color w:val="000000" w:themeColor="text1"/>
          <w:sz w:val="24"/>
          <w:szCs w:val="24"/>
        </w:rPr>
        <w:t>zaliczenia</w:t>
      </w:r>
      <w:r w:rsidR="00DC6F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przedmiotu</w:t>
      </w:r>
      <w:r w:rsidR="00A97381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6B14D2" w:rsidRPr="006B14D2" w:rsidRDefault="006B14D2" w:rsidP="006B14D2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14D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Etapy adaptacji do choroby przewlekłej. Diagnoza potrzeb biopsychospołecznych  chorego  w kolejnych  okresach choroby przewlekłej  ze szczególnym uwzględnieniem terminalnego okresu życia. </w:t>
      </w:r>
    </w:p>
    <w:p w:rsidR="006B14D2" w:rsidRPr="006B14D2" w:rsidRDefault="006B14D2" w:rsidP="006B14D2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14D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Analiza nowoczesnych rozwiązań  funkcjonujących we współczesnych systemach opieki, paliatywnej w Polsce i na świecie. </w:t>
      </w:r>
    </w:p>
    <w:p w:rsidR="006B14D2" w:rsidRPr="006B14D2" w:rsidRDefault="006B14D2" w:rsidP="006B14D2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14D2">
        <w:rPr>
          <w:rFonts w:asciiTheme="minorHAnsi" w:hAnsiTheme="minorHAnsi" w:cstheme="minorHAnsi"/>
          <w:color w:val="000000" w:themeColor="text1"/>
          <w:sz w:val="24"/>
          <w:szCs w:val="24"/>
        </w:rPr>
        <w:t>Działania wspierające chorego i rodzinę w terminalnym okresie życia chorego oraz w czasie umierania i żałoby. Postawa przyszłych pracowników socjalnyc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h wobec tanatopedagogiki</w:t>
      </w:r>
      <w:r w:rsidRPr="006B14D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6851AD" w:rsidRPr="00805C69" w:rsidRDefault="006851AD" w:rsidP="006B14D2">
      <w:pPr>
        <w:pStyle w:val="Table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Podsumowanie i zakończenie zajęć.</w:t>
      </w:r>
    </w:p>
    <w:p w:rsidR="006D764F" w:rsidRPr="00341AC4" w:rsidRDefault="006D764F" w:rsidP="00805C69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436303" w:rsidRPr="00341AC4" w:rsidRDefault="00436303" w:rsidP="006B14D2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:rsidR="00A713B4" w:rsidRPr="00341AC4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CC0F64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B14D2" w:rsidRPr="00341AC4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6B14D2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b/>
                <w:iCs/>
                <w:color w:val="00B050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  <w:p w:rsidR="006B14D2" w:rsidRPr="00501548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Ma wiedzę dotyczącą procesów komunikowania interpersonalnego i społecznego, ich prawidłowości i zakłóceń w czasie opieki nad osobą u kresu życia oraz fazy umierania i żałoby a także formy pomocy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PS1P_W10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6B14D2" w:rsidRPr="00341AC4" w:rsidTr="00F03A6F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:rsidR="006B14D2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  <w:p w:rsidR="006B14D2" w:rsidRPr="00341AC4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Potrafi diagnozować i opracować strategię działania i współpracy z rodziną i instytucjami sprawującymi opiekę nad chorymi terminalnie i umierającymi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PS1P_U13</w:t>
            </w:r>
          </w:p>
        </w:tc>
      </w:tr>
      <w:tr w:rsidR="006B14D2" w:rsidRPr="00341AC4" w:rsidTr="00F03A6F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:rsidR="006B14D2" w:rsidRPr="00341AC4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Potrafi zdobywać wiedzę dotyczącą pracy z osobą terminalnie chorą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PS1P_U14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B14D2" w:rsidRPr="00341AC4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6B14D2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  <w:p w:rsidR="006B14D2" w:rsidRPr="00341AC4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Jest gotów do krytycznej oceny swojej wiedzy z zakresu pracy z osobami terminalnie chorymi oraz do stałego dokształcania się w tym zakresie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PS1P_K01</w:t>
            </w:r>
          </w:p>
        </w:tc>
      </w:tr>
      <w:tr w:rsidR="006B14D2" w:rsidRPr="00341AC4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6B14D2" w:rsidRPr="00341AC4" w:rsidRDefault="006B14D2" w:rsidP="006B14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Jest gotów do inicjowania działań na rzecz podnoszenia jakości życia osób terminalnie chorych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D2" w:rsidRPr="006B14D2" w:rsidRDefault="006B14D2" w:rsidP="006B14D2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B14D2">
              <w:rPr>
                <w:rFonts w:asciiTheme="minorHAnsi" w:hAnsiTheme="minorHAnsi" w:cstheme="minorHAnsi"/>
                <w:sz w:val="20"/>
                <w:szCs w:val="20"/>
              </w:rPr>
              <w:t>PS1P_K03</w:t>
            </w:r>
          </w:p>
        </w:tc>
      </w:tr>
    </w:tbl>
    <w:p w:rsidR="00436303" w:rsidRDefault="00436303" w:rsidP="006B14D2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przedmiotu(zajęć)</w:t>
      </w:r>
    </w:p>
    <w:p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341AC4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lastRenderedPageBreak/>
              <w:t>praktyczny/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lastRenderedPageBreak/>
              <w:t>Kolokwium*</w:t>
            </w:r>
          </w:p>
        </w:tc>
        <w:tc>
          <w:tcPr>
            <w:tcW w:w="1228" w:type="dxa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:rsidR="00CF48D1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  <w:p w:rsidR="00A8073B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Praca </w:t>
            </w:r>
          </w:p>
          <w:p w:rsidR="00A8073B" w:rsidRPr="00341AC4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pisemna na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lastRenderedPageBreak/>
              <w:t>zadany temat</w:t>
            </w:r>
          </w:p>
        </w:tc>
      </w:tr>
    </w:tbl>
    <w:p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341AC4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:rsidR="00DE1F53" w:rsidRPr="00341AC4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:rsidR="00B20F2C" w:rsidRPr="00341AC4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E96F1E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6B14D2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6B14D2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E96F1E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6B14D2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6B14D2" w:rsidRDefault="006B14D2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8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6B14D2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6B14D2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6B14D2" w:rsidRPr="00341AC4" w:rsidRDefault="006B14D2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:rsidR="006A7968" w:rsidRPr="006B14D2" w:rsidRDefault="00906C25" w:rsidP="006B14D2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:rsidTr="000D4346">
        <w:trPr>
          <w:jc w:val="center"/>
        </w:trPr>
        <w:tc>
          <w:tcPr>
            <w:tcW w:w="953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:rsidR="00122EA1" w:rsidRPr="00E96F1E" w:rsidRDefault="00122EA1" w:rsidP="00122EA1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50%-60% maksymalne</w:t>
            </w:r>
            <w:r w:rsidR="006A7968" w:rsidRPr="00E96F1E">
              <w:rPr>
                <w:rFonts w:asciiTheme="minorHAnsi" w:hAnsiTheme="minorHAnsi" w:cstheme="minorHAnsi"/>
              </w:rPr>
              <w:t>go wyniku z</w:t>
            </w:r>
            <w:r w:rsidR="006B14D2">
              <w:rPr>
                <w:rFonts w:asciiTheme="minorHAnsi" w:hAnsiTheme="minorHAnsi" w:cstheme="minorHAnsi"/>
              </w:rPr>
              <w:t xml:space="preserve"> </w:t>
            </w:r>
            <w:r w:rsidR="00E96F1E" w:rsidRPr="00E96F1E">
              <w:rPr>
                <w:rFonts w:asciiTheme="minorHAnsi" w:hAnsiTheme="minorHAnsi" w:cstheme="minorHAnsi"/>
              </w:rPr>
              <w:t>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</w:t>
            </w:r>
            <w:r w:rsidR="00A81DF3" w:rsidRPr="00E96F1E">
              <w:rPr>
                <w:rFonts w:asciiTheme="minorHAnsi" w:hAnsiTheme="minorHAnsi" w:cstheme="minorHAnsi"/>
              </w:rPr>
              <w:t xml:space="preserve">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:rsidR="00122EA1" w:rsidRPr="00E96F1E" w:rsidRDefault="00122EA1" w:rsidP="008C36CB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61%-70% maksymalne</w:t>
            </w:r>
            <w:r w:rsidR="006B14D2">
              <w:rPr>
                <w:rFonts w:asciiTheme="minorHAnsi" w:hAnsiTheme="minorHAnsi" w:cstheme="minorHAnsi"/>
              </w:rPr>
              <w:t xml:space="preserve">go wyniku z </w:t>
            </w:r>
            <w:r w:rsidR="00E96F1E" w:rsidRPr="00E96F1E">
              <w:rPr>
                <w:rFonts w:asciiTheme="minorHAnsi" w:hAnsiTheme="minorHAnsi" w:cstheme="minorHAnsi"/>
              </w:rPr>
              <w:t>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="00A81DF3" w:rsidRPr="00E96F1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:rsidR="00122EA1" w:rsidRPr="00E96F1E" w:rsidRDefault="00122EA1" w:rsidP="008C36CB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 xml:space="preserve">Uzyskał 71%-80% maksymalnego </w:t>
            </w:r>
            <w:r w:rsidR="006B14D2">
              <w:rPr>
                <w:rFonts w:asciiTheme="minorHAnsi" w:hAnsiTheme="minorHAnsi" w:cstheme="minorHAnsi"/>
              </w:rPr>
              <w:t xml:space="preserve">wyniku z </w:t>
            </w:r>
            <w:r w:rsidR="00E96F1E" w:rsidRPr="00E96F1E">
              <w:rPr>
                <w:rFonts w:asciiTheme="minorHAnsi" w:hAnsiTheme="minorHAnsi" w:cstheme="minorHAnsi"/>
              </w:rPr>
              <w:t>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Pr="00E96F1E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:rsidR="00122EA1" w:rsidRPr="00E96F1E" w:rsidRDefault="00122EA1" w:rsidP="00122EA1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81%-90% maksymalne</w:t>
            </w:r>
            <w:r w:rsidR="006B14D2">
              <w:rPr>
                <w:rFonts w:asciiTheme="minorHAnsi" w:hAnsiTheme="minorHAnsi" w:cstheme="minorHAnsi"/>
              </w:rPr>
              <w:t xml:space="preserve">go wyniku z </w:t>
            </w:r>
            <w:r w:rsidR="00E96F1E" w:rsidRPr="00E96F1E">
              <w:rPr>
                <w:rFonts w:asciiTheme="minorHAnsi" w:hAnsiTheme="minorHAnsi" w:cstheme="minorHAnsi"/>
              </w:rPr>
              <w:t>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</w:t>
            </w:r>
            <w:r w:rsidR="00A81DF3" w:rsidRPr="00E96F1E">
              <w:rPr>
                <w:rFonts w:asciiTheme="minorHAnsi" w:hAnsiTheme="minorHAnsi" w:cstheme="minorHAnsi"/>
              </w:rPr>
              <w:t xml:space="preserve">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Pr="00E96F1E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:rsidR="00122EA1" w:rsidRPr="00E96F1E" w:rsidRDefault="00122EA1" w:rsidP="00122EA1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91%-100% maksymalne</w:t>
            </w:r>
            <w:r w:rsidR="006B14D2">
              <w:rPr>
                <w:rFonts w:asciiTheme="minorHAnsi" w:hAnsiTheme="minorHAnsi" w:cstheme="minorHAnsi"/>
              </w:rPr>
              <w:t xml:space="preserve">go wyniku z </w:t>
            </w:r>
            <w:r w:rsidR="00E96F1E" w:rsidRPr="00E96F1E">
              <w:rPr>
                <w:rFonts w:asciiTheme="minorHAnsi" w:hAnsiTheme="minorHAnsi" w:cstheme="minorHAnsi"/>
              </w:rPr>
              <w:t>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Pr="00E96F1E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</w:tbl>
    <w:p w:rsidR="000746C5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p w:rsidR="006A7968" w:rsidRPr="006A7968" w:rsidRDefault="006A7968" w:rsidP="006A7968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8E3C86" w:rsidRPr="00341AC4" w:rsidTr="008C10A8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C86" w:rsidRPr="00341AC4" w:rsidRDefault="008E3C8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:rsidR="008E3C86" w:rsidRPr="00341AC4" w:rsidRDefault="008E3C8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8E3C86" w:rsidRPr="00341AC4" w:rsidTr="008C10A8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6B14D2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</w:tr>
      <w:tr w:rsidR="008E3C86" w:rsidRPr="00341AC4" w:rsidTr="008C10A8">
        <w:trPr>
          <w:trHeight w:val="282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796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</w:tcPr>
          <w:p w:rsidR="008E3C86" w:rsidRPr="001D2D5A" w:rsidRDefault="006B14D2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6B14D2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96F1E">
              <w:rPr>
                <w:rFonts w:asciiTheme="minorHAnsi" w:hAnsiTheme="minorHAnsi" w:cstheme="minorHAnsi"/>
              </w:rPr>
              <w:t>0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796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2172" w:type="dxa"/>
          </w:tcPr>
          <w:p w:rsidR="008E3C86" w:rsidRPr="001D2D5A" w:rsidRDefault="006B14D2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</w:tcPr>
          <w:p w:rsidR="008E3C86" w:rsidRPr="001D2D5A" w:rsidRDefault="006B14D2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8E3C86" w:rsidRPr="00341AC4" w:rsidTr="008C10A8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bookmarkStart w:id="1" w:name="_GoBack"/>
            <w:bookmarkEnd w:id="1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6B14D2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6B14D2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</w:tbl>
    <w:p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5478E3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32E5D"/>
    <w:multiLevelType w:val="hybridMultilevel"/>
    <w:tmpl w:val="85B022B0"/>
    <w:lvl w:ilvl="0" w:tplc="24F2A6D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6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C5"/>
    <w:rsid w:val="00001F0B"/>
    <w:rsid w:val="00013CA6"/>
    <w:rsid w:val="000148E1"/>
    <w:rsid w:val="00040C7C"/>
    <w:rsid w:val="00053608"/>
    <w:rsid w:val="000657F2"/>
    <w:rsid w:val="000706A4"/>
    <w:rsid w:val="0007138A"/>
    <w:rsid w:val="00072B99"/>
    <w:rsid w:val="000746C5"/>
    <w:rsid w:val="000800D0"/>
    <w:rsid w:val="000D4346"/>
    <w:rsid w:val="000F5265"/>
    <w:rsid w:val="00104870"/>
    <w:rsid w:val="00104F8D"/>
    <w:rsid w:val="001106DC"/>
    <w:rsid w:val="00122EA1"/>
    <w:rsid w:val="001373A5"/>
    <w:rsid w:val="00145EC7"/>
    <w:rsid w:val="001937BF"/>
    <w:rsid w:val="001D18A7"/>
    <w:rsid w:val="001D2D5A"/>
    <w:rsid w:val="001D511D"/>
    <w:rsid w:val="001E0ADE"/>
    <w:rsid w:val="001E7B5A"/>
    <w:rsid w:val="001F42A6"/>
    <w:rsid w:val="00204C4C"/>
    <w:rsid w:val="002401BA"/>
    <w:rsid w:val="00255A49"/>
    <w:rsid w:val="002579A7"/>
    <w:rsid w:val="0027397F"/>
    <w:rsid w:val="00332E95"/>
    <w:rsid w:val="00334D16"/>
    <w:rsid w:val="00341AC4"/>
    <w:rsid w:val="0034602B"/>
    <w:rsid w:val="003522AC"/>
    <w:rsid w:val="003622B2"/>
    <w:rsid w:val="00363F81"/>
    <w:rsid w:val="003A3B10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A67AE"/>
    <w:rsid w:val="004B30D1"/>
    <w:rsid w:val="004C2D66"/>
    <w:rsid w:val="004E017B"/>
    <w:rsid w:val="004F47E5"/>
    <w:rsid w:val="00501548"/>
    <w:rsid w:val="00513674"/>
    <w:rsid w:val="00522DED"/>
    <w:rsid w:val="005363F3"/>
    <w:rsid w:val="00543BC4"/>
    <w:rsid w:val="00554D43"/>
    <w:rsid w:val="00566B57"/>
    <w:rsid w:val="00571CD4"/>
    <w:rsid w:val="005769E7"/>
    <w:rsid w:val="005A015E"/>
    <w:rsid w:val="005A56B9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851AD"/>
    <w:rsid w:val="006A0C6B"/>
    <w:rsid w:val="006A7968"/>
    <w:rsid w:val="006B14D2"/>
    <w:rsid w:val="006C5000"/>
    <w:rsid w:val="006D764F"/>
    <w:rsid w:val="006E60C3"/>
    <w:rsid w:val="006F029C"/>
    <w:rsid w:val="00725F8A"/>
    <w:rsid w:val="00745543"/>
    <w:rsid w:val="00775AF1"/>
    <w:rsid w:val="0078420E"/>
    <w:rsid w:val="007B605E"/>
    <w:rsid w:val="007C3DBD"/>
    <w:rsid w:val="007F4A1D"/>
    <w:rsid w:val="007F6531"/>
    <w:rsid w:val="00805C69"/>
    <w:rsid w:val="00823B29"/>
    <w:rsid w:val="00826ADD"/>
    <w:rsid w:val="00834C51"/>
    <w:rsid w:val="00862E0A"/>
    <w:rsid w:val="00870502"/>
    <w:rsid w:val="00896E3C"/>
    <w:rsid w:val="008B336A"/>
    <w:rsid w:val="008C36CB"/>
    <w:rsid w:val="008E3C86"/>
    <w:rsid w:val="00906C25"/>
    <w:rsid w:val="009109EC"/>
    <w:rsid w:val="00913ECD"/>
    <w:rsid w:val="00937809"/>
    <w:rsid w:val="00937B44"/>
    <w:rsid w:val="00944BDF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8073B"/>
    <w:rsid w:val="00A81DF3"/>
    <w:rsid w:val="00A97381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15E8D"/>
    <w:rsid w:val="00C51D09"/>
    <w:rsid w:val="00C52562"/>
    <w:rsid w:val="00C62B71"/>
    <w:rsid w:val="00C74615"/>
    <w:rsid w:val="00CA3616"/>
    <w:rsid w:val="00CB604E"/>
    <w:rsid w:val="00CC0F64"/>
    <w:rsid w:val="00CD60D3"/>
    <w:rsid w:val="00CF48D1"/>
    <w:rsid w:val="00D05AB2"/>
    <w:rsid w:val="00D11DCF"/>
    <w:rsid w:val="00D3594F"/>
    <w:rsid w:val="00D85EF3"/>
    <w:rsid w:val="00D864ED"/>
    <w:rsid w:val="00D938BC"/>
    <w:rsid w:val="00DA28D5"/>
    <w:rsid w:val="00DB38C6"/>
    <w:rsid w:val="00DB5D67"/>
    <w:rsid w:val="00DC6F08"/>
    <w:rsid w:val="00DD65E8"/>
    <w:rsid w:val="00DE1F53"/>
    <w:rsid w:val="00E17D02"/>
    <w:rsid w:val="00E30DA9"/>
    <w:rsid w:val="00E320A1"/>
    <w:rsid w:val="00E604E4"/>
    <w:rsid w:val="00E63048"/>
    <w:rsid w:val="00E81B10"/>
    <w:rsid w:val="00E948C6"/>
    <w:rsid w:val="00E96F1E"/>
    <w:rsid w:val="00EA012A"/>
    <w:rsid w:val="00EA33AE"/>
    <w:rsid w:val="00EA7C7B"/>
    <w:rsid w:val="00EB05C8"/>
    <w:rsid w:val="00EC0C62"/>
    <w:rsid w:val="00EC2108"/>
    <w:rsid w:val="00ED58B1"/>
    <w:rsid w:val="00EE3CEA"/>
    <w:rsid w:val="00EE4BF9"/>
    <w:rsid w:val="00EF03DF"/>
    <w:rsid w:val="00F03A6F"/>
    <w:rsid w:val="00F05892"/>
    <w:rsid w:val="00F114BE"/>
    <w:rsid w:val="00F24029"/>
    <w:rsid w:val="00F30720"/>
    <w:rsid w:val="00F5109B"/>
    <w:rsid w:val="00F71386"/>
    <w:rsid w:val="00F75F6D"/>
    <w:rsid w:val="00F77196"/>
    <w:rsid w:val="00F77856"/>
    <w:rsid w:val="00F93849"/>
    <w:rsid w:val="00FB2C0D"/>
    <w:rsid w:val="00FD380B"/>
    <w:rsid w:val="00FE128D"/>
    <w:rsid w:val="00FE6295"/>
    <w:rsid w:val="00FE667D"/>
    <w:rsid w:val="00FF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BA373-FE02-42F4-8E4A-138C3D6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968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Grid">
    <w:name w:val="TableGrid"/>
    <w:rsid w:val="00A8073B"/>
    <w:pPr>
      <w:widowControl/>
      <w:autoSpaceDE/>
      <w:autoSpaceDN/>
    </w:pPr>
    <w:rPr>
      <w:rFonts w:eastAsiaTheme="minorEastAsia"/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A7968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804EA-2241-4168-8844-CDF9C231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user</cp:lastModifiedBy>
  <cp:revision>33</cp:revision>
  <cp:lastPrinted>2025-10-28T07:51:00Z</cp:lastPrinted>
  <dcterms:created xsi:type="dcterms:W3CDTF">2026-02-16T21:51:00Z</dcterms:created>
  <dcterms:modified xsi:type="dcterms:W3CDTF">2026-06-29T23:12:00Z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