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36"/>
        <w:jc w:val="end"/>
        <w:rPr/>
      </w:pPr>
      <w:r>
        <w:rPr>
          <w:sz w:val="24"/>
        </w:rPr>
        <w:t xml:space="preserve">Załącznik nr 4 do zarządzenia nr 189/2025 </w:t>
      </w:r>
    </w:p>
    <w:p>
      <w:pPr>
        <w:pStyle w:val="Heading1"/>
        <w:rPr/>
      </w:pPr>
      <w:r>
        <w:rPr/>
        <w:t xml:space="preserve">KARTA PRZEDMIOTU (ZAJĘĆ) </w:t>
      </w:r>
    </w:p>
    <w:p>
      <w:pPr>
        <w:pStyle w:val="Normal"/>
        <w:spacing w:lineRule="auto" w:line="269" w:before="0" w:after="251"/>
        <w:ind w:hanging="10" w:start="435"/>
        <w:rPr/>
      </w:pPr>
      <w:r>
        <w:rPr>
          <w:b/>
          <w:sz w:val="24"/>
        </w:rPr>
        <w:t xml:space="preserve">Kod przedmiotu (zajęć): </w:t>
      </w:r>
      <w:r>
        <w:rPr>
          <w:rFonts w:cs="Calibri"/>
          <w:b w:val="false"/>
          <w:bCs w:val="false"/>
          <w:iCs/>
          <w:color w:val="auto"/>
          <w:sz w:val="22"/>
          <w:szCs w:val="22"/>
        </w:rPr>
        <w:t>0313.3.PSY.B07.WRZP</w:t>
      </w:r>
      <w:r>
        <w:rPr>
          <w:color w:val="auto"/>
          <w:sz w:val="20"/>
          <w:szCs w:val="20"/>
        </w:rPr>
        <w:t xml:space="preserve">  </w:t>
      </w:r>
    </w:p>
    <w:p>
      <w:pPr>
        <w:pStyle w:val="Normal"/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>
        <w:rPr>
          <w:rFonts w:cs="Calibri"/>
          <w:b/>
          <w:bCs/>
          <w:color w:val="auto"/>
          <w:sz w:val="20"/>
          <w:szCs w:val="20"/>
        </w:rPr>
        <w:t>Wprowadzenie do różnorodności zastosowań psychologii</w:t>
      </w:r>
    </w:p>
    <w:p>
      <w:pPr>
        <w:pStyle w:val="Normal"/>
        <w:spacing w:lineRule="auto" w:line="269" w:before="0" w:after="251"/>
        <w:ind w:hanging="10" w:start="438"/>
        <w:rPr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>
        <w:rPr>
          <w:rFonts w:cs="Calibri"/>
          <w:i w:val="false"/>
          <w:sz w:val="24"/>
        </w:rPr>
        <w:t>Introduction to the variety of applications of psychology</w:t>
      </w:r>
      <w:r>
        <w:rPr>
          <w:rFonts w:cs="Calibri"/>
          <w:b/>
          <w:bCs/>
          <w:iCs/>
          <w:sz w:val="20"/>
          <w:szCs w:val="20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5" w:type="dxa"/>
          <w:bottom w:w="0" w:type="dxa"/>
          <w:end w:w="12" w:type="dxa"/>
        </w:tblCellMar>
        <w:tblLook w:val="04a0" w:firstRow="1" w:noVBand="1" w:lastRow="0" w:firstColumn="1" w:lastColumn="0" w:noHBand="0"/>
      </w:tblPr>
      <w:tblGrid>
        <w:gridCol w:w="4742"/>
        <w:gridCol w:w="5007"/>
      </w:tblGrid>
      <w:tr>
        <w:trPr>
          <w:trHeight w:val="346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Kierunek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Psychologia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Stacjonarne/niestacjonarne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Poziom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Jednolite magisterskie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Profil studiów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Ogólnoakademicki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1.5.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Osoba przygotowująca kartę przedmiotu (zajęć)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-19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 xml:space="preserve">     </w:t>
            </w:r>
            <w:r>
              <w:rPr>
                <w:kern w:val="2"/>
                <w:szCs w:val="22"/>
                <w:lang w:val="pl-PL" w:eastAsia="pl-PL" w:bidi="ar-SA"/>
              </w:rPr>
              <w:t>dr Agata Sitko</w:t>
            </w:r>
          </w:p>
        </w:tc>
      </w:tr>
      <w:tr>
        <w:trPr>
          <w:trHeight w:val="305" w:hRule="atLeast"/>
        </w:trPr>
        <w:tc>
          <w:tcPr>
            <w:tcW w:w="47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13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1.6.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Kontakt </w:t>
            </w:r>
          </w:p>
        </w:tc>
        <w:tc>
          <w:tcPr>
            <w:tcW w:w="50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14"/>
              <w:jc w:val="start"/>
              <w:rPr>
                <w:szCs w:val="22"/>
              </w:rPr>
            </w:pPr>
            <w:r>
              <w:rPr>
                <w:kern w:val="2"/>
                <w:szCs w:val="22"/>
                <w:lang w:val="pl-PL" w:eastAsia="pl-PL" w:bidi="ar-SA"/>
              </w:rPr>
              <w:t>agata.sitko@ujk.edu.pl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35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3467"/>
        <w:gridCol w:w="6282"/>
      </w:tblGrid>
      <w:tr>
        <w:trPr>
          <w:trHeight w:val="30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Język wykładowy 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  <w:t xml:space="preserve">Polski </w:t>
            </w:r>
          </w:p>
        </w:tc>
      </w:tr>
      <w:tr>
        <w:trPr>
          <w:trHeight w:val="305" w:hRule="atLeast"/>
        </w:trPr>
        <w:tc>
          <w:tcPr>
            <w:tcW w:w="34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2.2.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Wymagania wstępne </w:t>
            </w:r>
          </w:p>
        </w:tc>
        <w:tc>
          <w:tcPr>
            <w:tcW w:w="62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6"/>
              <w:jc w:val="start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rFonts w:cs="Calibri"/>
                <w:kern w:val="0"/>
                <w:sz w:val="22"/>
                <w:szCs w:val="22"/>
                <w:lang w:val="pl-PL" w:eastAsia="pl-PL" w:bidi="ar-SA"/>
              </w:rPr>
              <w:t>Zaliczenie na ocenę (w); zaliczenie na ocenę (ćw)</w:t>
            </w:r>
            <w:r>
              <w:rPr>
                <w:kern w:val="2"/>
                <w:sz w:val="22"/>
                <w:szCs w:val="22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jc w:val="start"/>
        <w:tblInd w:w="362" w:type="dxa"/>
        <w:tblLayout w:type="fixed"/>
        <w:tblCellMar>
          <w:top w:w="48" w:type="dxa"/>
          <w:start w:w="110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3465"/>
        <w:gridCol w:w="6284"/>
      </w:tblGrid>
      <w:tr>
        <w:trPr>
          <w:trHeight w:val="600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3.1.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Wykład, ćwiczenia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3.2.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Miejsce realizacji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36"/>
              <w:shd w:val="clear" w:color="auto" w:fill="auto"/>
              <w:suppressAutoHyphens w:val="true"/>
              <w:spacing w:lineRule="auto" w:line="240" w:before="0" w:after="0"/>
              <w:ind w:hanging="0"/>
              <w:jc w:val="start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  <w:lang w:val="pl-PL" w:eastAsia="pl-PL"/>
              </w:rPr>
              <w:t>Pomieszczenia dydaktyczne UJK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3.3.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Forma zaliczenia zajęć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 xml:space="preserve">Zaliczenie na ocenę (w); zaliczenie na ocenę (ćw) 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3.4.</w:t>
            </w:r>
            <w:r>
              <w:rPr>
                <w:rFonts w:eastAsia="Arial" w:cs="Arial" w:ascii="Arial" w:hAnsi="Arial"/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Metody dydaktyczne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</w:rPr>
              <w:t>Wykład</w:t>
            </w:r>
            <w:r>
              <w:rPr>
                <w:rFonts w:cs="Calibri"/>
                <w:kern w:val="0"/>
                <w:sz w:val="22"/>
                <w:szCs w:val="22"/>
              </w:rPr>
              <w:t>: Wykład informacyjny. Wykład problemowy.</w:t>
            </w:r>
          </w:p>
          <w:p>
            <w:pPr>
              <w:pStyle w:val="NormalWeb"/>
              <w:suppressAutoHyphens w:val="true"/>
              <w:spacing w:beforeAutospacing="0" w:before="0" w:afterAutospacing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b w:val="false"/>
                <w:bCs w:val="false"/>
                <w:kern w:val="0"/>
                <w:sz w:val="22"/>
                <w:szCs w:val="22"/>
              </w:rPr>
              <w:t>Ćwiczenia</w:t>
            </w:r>
            <w:r>
              <w:rPr>
                <w:rFonts w:cs="Calibri"/>
                <w:b/>
                <w:bCs/>
                <w:kern w:val="0"/>
                <w:sz w:val="22"/>
                <w:szCs w:val="22"/>
              </w:rPr>
              <w:t>:</w:t>
            </w:r>
            <w:r>
              <w:rPr>
                <w:rFonts w:cs="Calibri"/>
                <w:kern w:val="0"/>
                <w:sz w:val="22"/>
                <w:szCs w:val="22"/>
              </w:rPr>
              <w:t xml:space="preserve"> Dyskusja wielokrotna (grupowa). Dyskusja – burza mózgów. Film. Referat (prezentacja multimedialna). Praca z tekstem drukowanym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3.5.a. Wykaz literatury podstawowej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40" w:before="0" w:after="23"/>
              <w:ind w:hanging="360" w:start="313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Ja</w:t>
            </w: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</w:rPr>
              <w:t xml:space="preserve">nicka I.,  Liberska H. (2014). </w:t>
            </w:r>
            <w:r>
              <w:rPr>
                <w:rFonts w:cs="Aptos" w:cstheme="minorHAnsi"/>
                <w:i/>
                <w:iCs/>
                <w:color w:val="000000"/>
                <w:kern w:val="0"/>
                <w:sz w:val="22"/>
                <w:szCs w:val="22"/>
              </w:rPr>
              <w:t>Psychologia rodziny.</w:t>
            </w: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cs="Aptos" w:cstheme="minorHAnsi"/>
                <w:iCs/>
                <w:color w:val="000000"/>
                <w:kern w:val="0"/>
                <w:sz w:val="22"/>
                <w:szCs w:val="22"/>
                <w:lang w:val="en-US"/>
              </w:rPr>
              <w:t>PWN. 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40" w:before="0" w:after="23"/>
              <w:ind w:hanging="360" w:start="313" w:end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en-US"/>
              </w:rPr>
              <w:t xml:space="preserve">Lavallee, D., Kremer, J., Moran, A., Williams, M. (2012) </w:t>
            </w:r>
            <w:r>
              <w:rPr>
                <w:i/>
                <w:iCs/>
                <w:color w:val="000000"/>
                <w:kern w:val="0"/>
                <w:sz w:val="22"/>
                <w:szCs w:val="22"/>
                <w:lang w:val="en-US"/>
              </w:rPr>
              <w:t xml:space="preserve">Sport Psychology: Contemporary Themes. </w:t>
            </w:r>
            <w:r>
              <w:rPr>
                <w:color w:val="000000"/>
                <w:kern w:val="0"/>
                <w:sz w:val="22"/>
                <w:szCs w:val="22"/>
                <w:lang w:val="en-US"/>
              </w:rPr>
              <w:t>PM. 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40" w:before="0" w:after="23"/>
              <w:ind w:hanging="360" w:start="313" w:end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Stasiuk, K., Maison, D. (2017). </w:t>
            </w:r>
            <w:r>
              <w:rPr>
                <w:i/>
                <w:iCs/>
                <w:color w:val="000000"/>
                <w:kern w:val="0"/>
                <w:sz w:val="22"/>
                <w:szCs w:val="22"/>
              </w:rPr>
              <w:t>Psychologia konsumenta</w:t>
            </w:r>
            <w:r>
              <w:rPr>
                <w:color w:val="000000"/>
                <w:kern w:val="0"/>
                <w:sz w:val="22"/>
                <w:szCs w:val="22"/>
              </w:rPr>
              <w:t>. PWN. 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40" w:before="0" w:after="23"/>
              <w:ind w:hanging="360" w:start="313" w:end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Strelau, J. (2005). </w:t>
            </w:r>
            <w:r>
              <w:rPr>
                <w:i/>
                <w:iCs/>
                <w:color w:val="000000"/>
                <w:kern w:val="0"/>
                <w:sz w:val="22"/>
                <w:szCs w:val="22"/>
              </w:rPr>
              <w:t>Psychologia. Podręcznik akademicki</w:t>
            </w:r>
            <w:r>
              <w:rPr>
                <w:color w:val="000000"/>
                <w:kern w:val="0"/>
                <w:sz w:val="22"/>
                <w:szCs w:val="22"/>
              </w:rPr>
              <w:t xml:space="preserve">. </w:t>
            </w:r>
            <w:r>
              <w:rPr>
                <w:i/>
                <w:iCs/>
                <w:color w:val="000000"/>
                <w:kern w:val="0"/>
                <w:sz w:val="22"/>
                <w:szCs w:val="22"/>
              </w:rPr>
              <w:t>Tom 3: Jednostka w społeczeństwie i elementy psychologii stosowanej.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GWP. 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true"/>
              <w:spacing w:lineRule="auto" w:line="240" w:before="0" w:after="23"/>
              <w:ind w:hanging="360" w:start="313" w:end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bCs/>
                <w:color w:val="000000"/>
                <w:kern w:val="0"/>
                <w:sz w:val="22"/>
                <w:szCs w:val="22"/>
              </w:rPr>
              <w:t>Tucholska, S. (2001). Christiny Maslach koncepcja wypalenia zawodowego: etapy rozwoju. </w:t>
            </w:r>
            <w:r>
              <w:rPr>
                <w:rFonts w:cs="Calibri"/>
                <w:bCs/>
                <w:i/>
                <w:color w:val="000000"/>
                <w:kern w:val="0"/>
                <w:sz w:val="22"/>
                <w:szCs w:val="22"/>
              </w:rPr>
              <w:t>Przegląd Psychologiczny, 44</w:t>
            </w:r>
            <w:r>
              <w:rPr>
                <w:rFonts w:cs="Calibri"/>
                <w:bCs/>
                <w:color w:val="000000"/>
                <w:kern w:val="0"/>
                <w:sz w:val="22"/>
                <w:szCs w:val="22"/>
              </w:rPr>
              <w:t>(3), 301–317.</w:t>
            </w:r>
          </w:p>
        </w:tc>
      </w:tr>
      <w:tr>
        <w:trPr>
          <w:trHeight w:val="305" w:hRule="atLeast"/>
        </w:trPr>
        <w:tc>
          <w:tcPr>
            <w:tcW w:w="3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2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3.5.b. Wykaz literatury uzupełniającej </w:t>
            </w:r>
          </w:p>
        </w:tc>
        <w:tc>
          <w:tcPr>
            <w:tcW w:w="6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before="0" w:after="23"/>
              <w:ind w:hanging="360" w:start="308"/>
              <w:jc w:val="star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cs="Calibri"/>
                <w:kern w:val="0"/>
                <w:sz w:val="21"/>
                <w:szCs w:val="21"/>
              </w:rPr>
              <w:t xml:space="preserve"> </w:t>
            </w:r>
            <w:r>
              <w:rPr>
                <w:rFonts w:cs="Calibri"/>
                <w:kern w:val="0"/>
                <w:sz w:val="21"/>
                <w:szCs w:val="21"/>
              </w:rPr>
              <w:t xml:space="preserve">Clear J. (2019).  </w:t>
            </w:r>
            <w:r>
              <w:rPr>
                <w:rFonts w:cs="Calibri"/>
                <w:i/>
                <w:iCs/>
                <w:kern w:val="0"/>
                <w:sz w:val="21"/>
                <w:szCs w:val="21"/>
              </w:rPr>
              <w:t>Atomowe nawyki</w:t>
            </w:r>
            <w:r>
              <w:rPr>
                <w:rFonts w:cs="Calibri"/>
                <w:kern w:val="0"/>
                <w:sz w:val="21"/>
                <w:szCs w:val="21"/>
              </w:rPr>
              <w:t>. Galaktyka.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before="0" w:after="23"/>
              <w:ind w:hanging="360" w:start="308"/>
              <w:jc w:val="start"/>
              <w:rPr/>
            </w:pPr>
            <w:r>
              <w:rPr/>
              <w:t xml:space="preserve"> </w:t>
            </w:r>
            <w:r>
              <w:rPr/>
              <w:t xml:space="preserve">Covey, S. R. (2007). </w:t>
            </w:r>
            <w:r>
              <w:rPr>
                <w:i/>
                <w:iCs/>
              </w:rPr>
              <w:t>7 nawyków skutecznego działania</w:t>
            </w:r>
            <w:r>
              <w:rPr/>
              <w:t>. Rebis.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true"/>
              <w:spacing w:before="0" w:after="23"/>
              <w:ind w:hanging="360" w:start="308"/>
              <w:jc w:val="start"/>
              <w:rPr/>
            </w:pPr>
            <w:r>
              <w:rPr>
                <w:rFonts w:cs="Calibri"/>
                <w:color w:themeColor="text1" w:val="000000"/>
                <w:kern w:val="0"/>
                <w:sz w:val="21"/>
                <w:szCs w:val="21"/>
              </w:rPr>
              <w:t xml:space="preserve">Kolber, M. (2014). Zastosowanie psychologii pozytywnej w edukacji. </w:t>
            </w:r>
            <w:r>
              <w:rPr>
                <w:rFonts w:cs="Calibri"/>
                <w:i/>
                <w:iCs/>
                <w:color w:themeColor="text1" w:val="000000"/>
                <w:kern w:val="0"/>
                <w:sz w:val="21"/>
                <w:szCs w:val="21"/>
              </w:rPr>
              <w:t xml:space="preserve">Przegląd Pedagogiczny, 2, </w:t>
            </w:r>
            <w:r>
              <w:rPr>
                <w:rFonts w:cs="Calibri"/>
                <w:i w:val="false"/>
                <w:iCs w:val="false"/>
                <w:color w:themeColor="text1" w:val="000000"/>
                <w:kern w:val="0"/>
                <w:sz w:val="21"/>
                <w:szCs w:val="21"/>
              </w:rPr>
              <w:t>156-165.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69" w:before="0" w:after="133"/>
        <w:ind w:hanging="0" w:start="0"/>
        <w:rPr>
          <w:b/>
          <w:sz w:val="24"/>
        </w:rPr>
      </w:pPr>
      <w:r>
        <w:rPr>
          <w:b/>
          <w:sz w:val="24"/>
        </w:rPr>
        <w:br/>
        <w:br/>
      </w:r>
    </w:p>
    <w:p>
      <w:pPr>
        <w:pStyle w:val="Normal"/>
        <w:numPr>
          <w:ilvl w:val="0"/>
          <w:numId w:val="1"/>
        </w:numPr>
        <w:spacing w:lineRule="auto" w:line="269" w:before="0" w:after="133"/>
        <w:ind w:hanging="360" w:start="850"/>
        <w:rPr>
          <w:b/>
          <w:sz w:val="24"/>
        </w:rPr>
      </w:pPr>
      <w:r>
        <w:rPr>
          <w:b/>
          <w:sz w:val="24"/>
        </w:rPr>
        <w:t xml:space="preserve">Cele, treści i efekty uczenia się </w:t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Cele przedmiotu (zajęć) (z uwzględnieniem formy zajęć) </w:t>
      </w:r>
    </w:p>
    <w:p>
      <w:pPr>
        <w:pStyle w:val="TableParagraph"/>
        <w:numPr>
          <w:ilvl w:val="0"/>
          <w:numId w:val="0"/>
        </w:numPr>
        <w:snapToGrid w:val="false"/>
        <w:spacing w:lineRule="auto" w:line="276"/>
        <w:ind w:hanging="0" w:start="567"/>
        <w:jc w:val="both"/>
        <w:rPr/>
      </w:pPr>
      <w:r>
        <w:rPr>
          <w:rFonts w:cs="Aptos" w:cstheme="minorHAnsi"/>
          <w:b/>
          <w:iCs/>
          <w:color w:themeColor="text1" w:val="000000"/>
          <w:sz w:val="24"/>
          <w:szCs w:val="24"/>
        </w:rPr>
        <w:t>Wykład</w:t>
      </w:r>
    </w:p>
    <w:p>
      <w:pPr>
        <w:pStyle w:val="TableParagraph"/>
        <w:numPr>
          <w:ilvl w:val="0"/>
          <w:numId w:val="4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Aptos" w:ascii="Calibri" w:hAnsi="Calibri" w:cstheme="minorHAnsi"/>
          <w:b/>
          <w:iCs/>
          <w:color w:themeColor="text1" w:val="000000"/>
          <w:sz w:val="22"/>
          <w:szCs w:val="22"/>
        </w:rPr>
        <w:t xml:space="preserve">C1. </w:t>
      </w:r>
      <w:r>
        <w:rPr>
          <w:rFonts w:cs="Calibri" w:ascii="Calibri" w:hAnsi="Calibri"/>
          <w:iCs/>
          <w:sz w:val="22"/>
          <w:szCs w:val="22"/>
        </w:rPr>
        <w:t>Dostarczenie wiedzy na temat różnorodności zastosowań psychologii.</w:t>
      </w:r>
    </w:p>
    <w:p>
      <w:pPr>
        <w:pStyle w:val="TableParagraph"/>
        <w:numPr>
          <w:ilvl w:val="0"/>
          <w:numId w:val="4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Aptos" w:ascii="Calibri" w:hAnsi="Calibri" w:cstheme="minorHAnsi"/>
          <w:b/>
          <w:iCs/>
          <w:color w:themeColor="text1" w:val="000000"/>
          <w:sz w:val="22"/>
          <w:szCs w:val="22"/>
        </w:rPr>
        <w:t>C2.</w:t>
      </w:r>
      <w:r>
        <w:rPr>
          <w:rFonts w:cs="Calibri" w:ascii="Calibri" w:hAnsi="Calibri"/>
          <w:bCs/>
          <w:iCs/>
          <w:sz w:val="22"/>
          <w:szCs w:val="22"/>
        </w:rPr>
        <w:t xml:space="preserve"> Nabycie umiejętności stosowania wiedzy z zakresu dziedzin zastosowań  psychologii.   </w:t>
      </w:r>
    </w:p>
    <w:p>
      <w:pPr>
        <w:pStyle w:val="TableParagraph"/>
        <w:numPr>
          <w:ilvl w:val="0"/>
          <w:numId w:val="4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Aptos" w:ascii="Calibri" w:hAnsi="Calibri" w:cstheme="minorHAnsi"/>
          <w:b/>
          <w:bCs/>
          <w:iCs/>
          <w:color w:themeColor="text1" w:val="000000"/>
          <w:sz w:val="22"/>
          <w:szCs w:val="22"/>
        </w:rPr>
        <w:t xml:space="preserve">C3. </w:t>
      </w:r>
      <w:r>
        <w:rPr>
          <w:rFonts w:cs="Calibri" w:ascii="Calibri" w:hAnsi="Calibri"/>
          <w:bCs/>
          <w:iCs/>
          <w:sz w:val="22"/>
          <w:szCs w:val="22"/>
        </w:rPr>
        <w:t>Kształtowanie prawidłowych postaw w rozumieniu i interpretacji faktów z zakresu zastosowań psychologii.</w:t>
      </w:r>
    </w:p>
    <w:p>
      <w:pPr>
        <w:pStyle w:val="TableParagraph"/>
        <w:numPr>
          <w:ilvl w:val="0"/>
          <w:numId w:val="0"/>
        </w:numPr>
        <w:tabs>
          <w:tab w:val="clear" w:pos="708"/>
        </w:tabs>
        <w:spacing w:lineRule="auto" w:line="240" w:before="0" w:after="0"/>
        <w:ind w:hanging="0" w:start="992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cs="Calibri" w:ascii="Calibri" w:hAnsi="Calibri"/>
          <w:bCs/>
          <w:iCs/>
          <w:sz w:val="22"/>
          <w:szCs w:val="22"/>
        </w:rPr>
      </w:r>
    </w:p>
    <w:p>
      <w:pPr>
        <w:pStyle w:val="TableParagraph"/>
        <w:numPr>
          <w:ilvl w:val="0"/>
          <w:numId w:val="0"/>
        </w:numPr>
        <w:spacing w:lineRule="auto" w:line="240"/>
        <w:ind w:hanging="0" w:start="709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iCs/>
          <w:sz w:val="22"/>
          <w:szCs w:val="22"/>
        </w:rPr>
        <w:t>Ćwiczenia</w:t>
      </w:r>
    </w:p>
    <w:p>
      <w:pPr>
        <w:pStyle w:val="TableParagraph"/>
        <w:numPr>
          <w:ilvl w:val="0"/>
          <w:numId w:val="4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Aptos" w:ascii="Calibri" w:hAnsi="Calibri" w:cstheme="minorHAnsi"/>
          <w:b/>
          <w:iCs/>
          <w:color w:themeColor="text1" w:val="000000"/>
          <w:sz w:val="22"/>
          <w:szCs w:val="22"/>
        </w:rPr>
        <w:t xml:space="preserve">C1. </w:t>
      </w:r>
      <w:r>
        <w:rPr>
          <w:rFonts w:cs="Calibri" w:ascii="Calibri" w:hAnsi="Calibri"/>
          <w:iCs/>
          <w:sz w:val="22"/>
          <w:szCs w:val="22"/>
        </w:rPr>
        <w:t xml:space="preserve">Zdobycie wiedzy na temat </w:t>
      </w:r>
      <w:r>
        <w:rPr>
          <w:rFonts w:cs="Calibri" w:ascii="Calibri" w:hAnsi="Calibri"/>
          <w:bCs/>
          <w:iCs/>
          <w:sz w:val="22"/>
          <w:szCs w:val="22"/>
        </w:rPr>
        <w:t>na temat różnorodności zastosowań psychologii w różnych dziedzinach.</w:t>
      </w:r>
    </w:p>
    <w:p>
      <w:pPr>
        <w:pStyle w:val="TableParagraph"/>
        <w:numPr>
          <w:ilvl w:val="0"/>
          <w:numId w:val="4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Aptos" w:ascii="Calibri" w:hAnsi="Calibri" w:cstheme="minorHAnsi"/>
          <w:b/>
          <w:iCs/>
          <w:color w:themeColor="text1" w:val="000000"/>
          <w:sz w:val="22"/>
          <w:szCs w:val="22"/>
        </w:rPr>
        <w:t>C2.</w:t>
      </w:r>
      <w:r>
        <w:rPr>
          <w:rFonts w:cs="Calibri" w:ascii="Calibri" w:hAnsi="Calibri"/>
          <w:bCs/>
          <w:iCs/>
          <w:sz w:val="22"/>
          <w:szCs w:val="22"/>
        </w:rPr>
        <w:t xml:space="preserve"> Rozwinięcie umiejętności praktycznego zastosowania psychologii w różnych aspektach praktyki psychologicznej.   </w:t>
      </w:r>
    </w:p>
    <w:p>
      <w:pPr>
        <w:pStyle w:val="TableParagraph"/>
        <w:numPr>
          <w:ilvl w:val="0"/>
          <w:numId w:val="4"/>
        </w:numPr>
        <w:tabs>
          <w:tab w:val="clear" w:pos="708"/>
        </w:tabs>
        <w:spacing w:lineRule="auto" w:line="240" w:before="0" w:after="0"/>
        <w:ind w:hanging="283" w:start="992"/>
        <w:jc w:val="both"/>
        <w:rPr>
          <w:rFonts w:ascii="Calibri" w:hAnsi="Calibri"/>
          <w:sz w:val="22"/>
          <w:szCs w:val="22"/>
        </w:rPr>
      </w:pPr>
      <w:r>
        <w:rPr>
          <w:rFonts w:cs="Aptos" w:ascii="Calibri" w:hAnsi="Calibri" w:cstheme="minorHAnsi"/>
          <w:b/>
          <w:bCs/>
          <w:iCs/>
          <w:color w:themeColor="text1" w:val="000000"/>
          <w:sz w:val="22"/>
          <w:szCs w:val="22"/>
        </w:rPr>
        <w:t>C3.</w:t>
      </w:r>
      <w:r>
        <w:rPr>
          <w:rFonts w:cs="Aptos" w:ascii="Calibri" w:hAnsi="Calibri" w:cstheme="minorHAnsi"/>
          <w:iCs/>
          <w:color w:themeColor="text1" w:val="000000"/>
          <w:sz w:val="22"/>
          <w:szCs w:val="22"/>
        </w:rPr>
        <w:t xml:space="preserve"> </w:t>
      </w:r>
      <w:r>
        <w:rPr>
          <w:rFonts w:cs="Calibri" w:ascii="Calibri" w:hAnsi="Calibri"/>
          <w:iCs/>
          <w:sz w:val="22"/>
          <w:szCs w:val="22"/>
        </w:rPr>
        <w:t>Nabycie umiejętności oceny poziomu swojej wiedzy w obszarze praktycznego zastosowania psychologii.</w:t>
      </w:r>
    </w:p>
    <w:p>
      <w:pPr>
        <w:pStyle w:val="ListParagraph"/>
        <w:spacing w:before="0" w:after="23"/>
        <w:contextualSpacing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spacing w:lineRule="auto" w:line="269" w:before="0" w:after="134"/>
        <w:ind w:hanging="566" w:start="1118"/>
        <w:rPr/>
      </w:pPr>
      <w:r>
        <w:rPr>
          <w:b/>
          <w:sz w:val="24"/>
        </w:rPr>
        <w:t xml:space="preserve">Treści programowe (z uwzględnieniem formy zajęć) </w:t>
      </w:r>
    </w:p>
    <w:p>
      <w:pPr>
        <w:pStyle w:val="Normal"/>
        <w:spacing w:lineRule="auto" w:line="269" w:before="0" w:after="0"/>
        <w:ind w:hanging="10" w:start="562"/>
        <w:rPr>
          <w:b/>
          <w:sz w:val="24"/>
        </w:rPr>
      </w:pPr>
      <w:r>
        <w:rPr>
          <w:b/>
          <w:sz w:val="24"/>
        </w:rPr>
        <w:t xml:space="preserve">Wykłady </w:t>
      </w:r>
    </w:p>
    <w:p>
      <w:pPr>
        <w:pStyle w:val="Normal"/>
        <w:spacing w:lineRule="auto" w:line="269" w:before="0" w:after="0"/>
        <w:ind w:hanging="10" w:start="562"/>
        <w:rPr>
          <w:sz w:val="22"/>
          <w:szCs w:val="22"/>
        </w:rPr>
      </w:pPr>
      <w:r>
        <w:rPr>
          <w:rFonts w:cs="Calibri"/>
          <w:b w:val="false"/>
          <w:bCs w:val="false"/>
          <w:sz w:val="22"/>
          <w:szCs w:val="22"/>
        </w:rPr>
        <w:t>1. Zapoznanie z kartą przedmiotu i warunkami zaliczenia.</w:t>
      </w:r>
    </w:p>
    <w:p>
      <w:pPr>
        <w:pStyle w:val="Normal"/>
        <w:spacing w:lineRule="auto" w:line="269" w:before="0" w:after="0"/>
        <w:ind w:hanging="10" w:start="562"/>
        <w:rPr>
          <w:sz w:val="22"/>
          <w:szCs w:val="22"/>
        </w:rPr>
      </w:pPr>
      <w:r>
        <w:rPr>
          <w:rFonts w:cs="Calibri"/>
          <w:b w:val="false"/>
          <w:bCs w:val="false"/>
          <w:color w:val="000000"/>
          <w:sz w:val="22"/>
          <w:szCs w:val="22"/>
        </w:rPr>
        <w:t xml:space="preserve">2. </w:t>
      </w:r>
      <w:r>
        <w:rPr>
          <w:rFonts w:cs="Calibri"/>
          <w:color w:val="000000"/>
          <w:sz w:val="22"/>
          <w:szCs w:val="22"/>
        </w:rPr>
        <w:t>Wprowadzenie do psychologii stosowanej. Aplikacyjna rola psychologii w kontekstach życia.</w:t>
      </w:r>
    </w:p>
    <w:p>
      <w:pPr>
        <w:pStyle w:val="Normal"/>
        <w:spacing w:lineRule="auto" w:line="269" w:before="0" w:after="0"/>
        <w:ind w:hanging="10" w:start="562"/>
        <w:rPr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3. </w:t>
      </w:r>
      <w:r>
        <w:rPr>
          <w:rFonts w:cs="Calibri"/>
          <w:sz w:val="22"/>
          <w:szCs w:val="22"/>
        </w:rPr>
        <w:t>Zastosowania psychologii w służbie zdrowia.</w:t>
      </w:r>
    </w:p>
    <w:p>
      <w:pPr>
        <w:pStyle w:val="Normal"/>
        <w:spacing w:lineRule="auto" w:line="269" w:before="0" w:after="0"/>
        <w:ind w:hanging="10" w:start="562"/>
        <w:rPr>
          <w:sz w:val="22"/>
          <w:szCs w:val="22"/>
        </w:rPr>
      </w:pPr>
      <w:r>
        <w:rPr>
          <w:rFonts w:cs="Calibri"/>
          <w:sz w:val="22"/>
          <w:szCs w:val="22"/>
        </w:rPr>
        <w:t>4. Zastosowanie psychologii w życiu społecznym.</w:t>
      </w:r>
    </w:p>
    <w:p>
      <w:pPr>
        <w:pStyle w:val="Normal"/>
        <w:spacing w:lineRule="auto" w:line="269" w:before="0" w:after="0"/>
        <w:ind w:hanging="10" w:start="562"/>
        <w:rPr>
          <w:sz w:val="22"/>
          <w:szCs w:val="22"/>
        </w:rPr>
      </w:pPr>
      <w:r>
        <w:rPr>
          <w:rFonts w:cs="Calibri"/>
          <w:sz w:val="22"/>
          <w:szCs w:val="22"/>
        </w:rPr>
        <w:t>5. Zastosowanie psychologii w edukacji i procesie wychowania.</w:t>
      </w:r>
    </w:p>
    <w:p>
      <w:pPr>
        <w:pStyle w:val="Normal"/>
        <w:spacing w:lineRule="auto" w:line="269" w:before="0" w:after="0"/>
        <w:ind w:hanging="10" w:start="562"/>
        <w:rPr>
          <w:sz w:val="22"/>
          <w:szCs w:val="22"/>
        </w:rPr>
      </w:pPr>
      <w:r>
        <w:rPr>
          <w:rFonts w:cs="Calibri"/>
          <w:sz w:val="22"/>
          <w:szCs w:val="22"/>
        </w:rPr>
        <w:t>6. Zastosowanie psychologii w środowisku pracy.</w:t>
      </w:r>
    </w:p>
    <w:p>
      <w:pPr>
        <w:pStyle w:val="Normal"/>
        <w:spacing w:lineRule="auto" w:line="269" w:before="0" w:after="0"/>
        <w:ind w:hanging="10" w:start="562"/>
        <w:rPr>
          <w:sz w:val="22"/>
          <w:szCs w:val="22"/>
        </w:rPr>
      </w:pPr>
      <w:r>
        <w:rPr>
          <w:rFonts w:cs="Calibri"/>
          <w:sz w:val="22"/>
          <w:szCs w:val="22"/>
        </w:rPr>
        <w:t>7. Zastosowanie psychologii w sporcie.</w:t>
      </w:r>
    </w:p>
    <w:p>
      <w:pPr>
        <w:pStyle w:val="Normal"/>
        <w:spacing w:lineRule="auto" w:line="269" w:before="0" w:after="0"/>
        <w:ind w:hanging="10" w:start="562"/>
        <w:rPr>
          <w:sz w:val="22"/>
          <w:szCs w:val="22"/>
        </w:rPr>
      </w:pPr>
      <w:r>
        <w:rPr>
          <w:rFonts w:cs="Calibri"/>
          <w:sz w:val="22"/>
          <w:szCs w:val="22"/>
        </w:rPr>
        <w:t>8. Zastosowanie psychologii w życiu rodzinnym.</w:t>
      </w:r>
    </w:p>
    <w:p>
      <w:pPr>
        <w:pStyle w:val="Normal"/>
        <w:spacing w:lineRule="auto" w:line="269" w:before="0" w:after="0"/>
        <w:ind w:hanging="10" w:start="562"/>
        <w:rPr>
          <w:sz w:val="22"/>
          <w:szCs w:val="22"/>
        </w:rPr>
      </w:pPr>
      <w:r>
        <w:rPr>
          <w:rFonts w:cs="Calibri"/>
          <w:sz w:val="22"/>
          <w:szCs w:val="22"/>
        </w:rPr>
        <w:t>9. Zastosowanie psychologii w sądownictwie i resocjalizacji.</w:t>
      </w:r>
    </w:p>
    <w:p>
      <w:pPr>
        <w:pStyle w:val="Normal"/>
        <w:spacing w:lineRule="auto" w:line="269" w:before="0" w:after="0"/>
        <w:ind w:hanging="10" w:start="562"/>
        <w:rPr>
          <w:sz w:val="22"/>
          <w:szCs w:val="22"/>
        </w:rPr>
      </w:pPr>
      <w:r>
        <w:rPr>
          <w:rFonts w:cs="Calibri"/>
          <w:sz w:val="22"/>
          <w:szCs w:val="22"/>
        </w:rPr>
        <w:t>10. Zastosowanie psychologii w biznesie i marketingu.</w:t>
      </w:r>
    </w:p>
    <w:p>
      <w:pPr>
        <w:pStyle w:val="Normal"/>
        <w:spacing w:before="0" w:after="22"/>
        <w:ind w:hanging="10" w:start="703"/>
        <w:rPr>
          <w:b/>
          <w:sz w:val="24"/>
        </w:rPr>
      </w:pPr>
      <w:r>
        <w:rPr/>
      </w:r>
    </w:p>
    <w:p>
      <w:pPr>
        <w:pStyle w:val="Normal"/>
        <w:spacing w:before="0" w:after="22"/>
        <w:ind w:hanging="10" w:start="703"/>
        <w:rPr>
          <w:sz w:val="22"/>
          <w:szCs w:val="22"/>
        </w:rPr>
      </w:pPr>
      <w:r>
        <w:rPr>
          <w:sz w:val="22"/>
          <w:szCs w:val="22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rFonts w:eastAsia="Arial"/>
          <w:sz w:val="22"/>
          <w:szCs w:val="22"/>
        </w:rPr>
        <w:t xml:space="preserve"> nie dotyczy</w:t>
      </w:r>
      <w:r>
        <w:rPr>
          <w:sz w:val="22"/>
          <w:szCs w:val="22"/>
        </w:rPr>
        <w:t xml:space="preserve"> </w:t>
      </w:r>
    </w:p>
    <w:p>
      <w:pPr>
        <w:pStyle w:val="Normal"/>
        <w:spacing w:lineRule="auto" w:line="269" w:before="0" w:after="0"/>
        <w:ind w:hanging="10" w:start="562"/>
        <w:rPr/>
      </w:pPr>
      <w:r>
        <w:rPr/>
      </w:r>
    </w:p>
    <w:p>
      <w:pPr>
        <w:pStyle w:val="Normal"/>
        <w:spacing w:lineRule="auto" w:line="269" w:before="0" w:after="0"/>
        <w:ind w:hanging="10" w:start="562"/>
        <w:rPr/>
      </w:pPr>
      <w:r>
        <w:rPr>
          <w:b/>
          <w:sz w:val="24"/>
        </w:rPr>
        <w:t xml:space="preserve">Ćwiczenia </w:t>
      </w:r>
    </w:p>
    <w:p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Zapoznanie z kartą przedmiotu i warunkami zaliczenia.</w:t>
      </w:r>
    </w:p>
    <w:p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Podstawowe zagadnienia związane z psychologią zdrowia i psychologią kliniczną.</w:t>
      </w:r>
    </w:p>
    <w:p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Podstawowe zagadnienia związane z psychologią społeczną, rodziny i edukacji.</w:t>
      </w:r>
    </w:p>
    <w:p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Podstawowe zagadnienia związane z psychologią biznesu i przedsiębiorczości. </w:t>
      </w:r>
    </w:p>
    <w:p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Podstawowe zagadnienia związane z psychologią pozytywną i samorozwojem.</w:t>
      </w:r>
    </w:p>
    <w:p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Kolokwium.</w:t>
      </w:r>
    </w:p>
    <w:p>
      <w:pPr>
        <w:pStyle w:val="Normal"/>
        <w:spacing w:before="0" w:after="22"/>
        <w:ind w:hanging="10" w:start="703"/>
        <w:rPr/>
      </w:pP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before="0" w:after="24"/>
        <w:ind w:start="491"/>
        <w:rPr>
          <w:szCs w:val="22"/>
        </w:rPr>
      </w:pPr>
      <w:r>
        <w:rPr>
          <w:szCs w:val="22"/>
        </w:rPr>
      </w:r>
    </w:p>
    <w:p>
      <w:pPr>
        <w:pStyle w:val="Normal"/>
        <w:spacing w:before="0" w:after="23"/>
        <w:ind w:hanging="10" w:start="577"/>
        <w:rPr/>
      </w:pPr>
      <w:r>
        <w:rPr>
          <w:b/>
          <w:sz w:val="24"/>
        </w:rPr>
        <w:t xml:space="preserve">Inne </w:t>
      </w:r>
    </w:p>
    <w:p>
      <w:pPr>
        <w:pStyle w:val="Normal"/>
        <w:spacing w:before="0" w:after="22"/>
        <w:ind w:hanging="10" w:start="703"/>
        <w:rPr/>
      </w:pPr>
      <w:r>
        <w:rPr/>
        <w:tab/>
      </w:r>
      <w:r>
        <w:rPr>
          <w:sz w:val="24"/>
        </w:rPr>
        <w:t xml:space="preserve">(w tym zajęcia prowadzone z wykorzystaniem metod i technik kształcenia na odległość)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  <w:t>1.</w:t>
      </w:r>
      <w:r>
        <w:rPr>
          <w:rFonts w:eastAsia="Arial"/>
          <w:szCs w:val="22"/>
        </w:rPr>
        <w:t xml:space="preserve"> nie dotyczy</w:t>
      </w:r>
      <w:r>
        <w:rPr>
          <w:szCs w:val="22"/>
        </w:rPr>
        <w:t xml:space="preserve"> </w:t>
      </w:r>
    </w:p>
    <w:p>
      <w:pPr>
        <w:pStyle w:val="Normal"/>
        <w:spacing w:before="0" w:after="24"/>
        <w:ind w:hanging="10" w:start="703"/>
        <w:rPr>
          <w:szCs w:val="22"/>
        </w:rPr>
      </w:pPr>
      <w:r>
        <w:rPr>
          <w:szCs w:val="22"/>
        </w:rPr>
      </w:r>
      <w:r>
        <w:br w:type="page"/>
      </w:r>
    </w:p>
    <w:p>
      <w:pPr>
        <w:pStyle w:val="Normal"/>
        <w:spacing w:before="0" w:after="24"/>
        <w:ind w:hanging="0" w:start="693"/>
        <w:rPr/>
      </w:pPr>
      <w:r>
        <w:rPr/>
      </w:r>
    </w:p>
    <w:p>
      <w:pPr>
        <w:pStyle w:val="Normal"/>
        <w:numPr>
          <w:ilvl w:val="1"/>
          <w:numId w:val="1"/>
        </w:numPr>
        <w:spacing w:lineRule="auto" w:line="269" w:before="0" w:after="0"/>
        <w:ind w:hanging="566" w:start="1118"/>
        <w:rPr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jc w:val="start"/>
        <w:tblInd w:w="313" w:type="dxa"/>
        <w:tblLayout w:type="fixed"/>
        <w:tblCellMar>
          <w:top w:w="47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5"/>
        <w:gridCol w:w="6804"/>
        <w:gridCol w:w="1769"/>
      </w:tblGrid>
      <w:tr>
        <w:trPr>
          <w:trHeight w:val="989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Efekty przedmiotowe </w:t>
            </w:r>
          </w:p>
          <w:p>
            <w:pPr>
              <w:pStyle w:val="Normal"/>
              <w:widowControl/>
              <w:suppressAutoHyphens w:val="true"/>
              <w:spacing w:before="0" w:after="0"/>
              <w:ind w:end="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Odniesienie do kierunkowych efektów uczenia się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wiedzy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TableParagraph"/>
              <w:suppressAutoHyphens w:val="true"/>
              <w:spacing w:lineRule="auto" w:line="276" w:before="0" w:after="0"/>
              <w:ind w:start="106" w:end="98"/>
              <w:jc w:val="center"/>
              <w:rPr>
                <w:sz w:val="22"/>
                <w:szCs w:val="22"/>
              </w:rPr>
            </w:pPr>
            <w:r>
              <w:rPr>
                <w:rFonts w:cs="Aptos" w:ascii="Aptos" w:hAnsi="Aptos" w:asciiTheme="minorHAnsi" w:cstheme="minorHAnsi" w:hAnsiTheme="minorHAnsi"/>
                <w:iCs/>
                <w:color w:themeColor="text1" w:val="000000"/>
                <w:kern w:val="0"/>
                <w:sz w:val="22"/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Ma pogłębioną wiedzę o aktualnych osiągnięciach psychologii i jej zastosowania w praktyce.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PSYCH_W01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Ma uporządkowaną i pogłębioną wiedzę  dotyczącą terminologii, teorii</w:t>
              <w:br/>
              <w:t>i metodologii z zakresu różnorodności zastosowania psychologii.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PSYCH_W03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 xml:space="preserve">Zna terminologię  używaną w różnych obszarach zawodowej działalności psychologa oraz  zna zasady jej zastosowania dla wsparcia jednostki lub grupy </w:t>
            </w:r>
            <w:r>
              <w:rPr>
                <w:rFonts w:eastAsia="Garamond" w:cs="Calibri"/>
                <w:bCs/>
                <w:kern w:val="0"/>
                <w:sz w:val="22"/>
                <w:szCs w:val="22"/>
              </w:rPr>
              <w:t>na gruncie aktywności zawodo</w:t>
              <w:softHyphen/>
              <w:t>wej i społecznej.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PSYCH_W11</w:t>
            </w:r>
          </w:p>
        </w:tc>
      </w:tr>
      <w:tr>
        <w:trPr>
          <w:trHeight w:val="590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521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umiejętności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Potrafi prawidłowo wyjaśniać, analizować i tłumaczyć zjawiska psychospołeczne o różnym podłożu i dynamice w kontekście dziedzin zastosowania psychologii.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PSYCH_U01</w:t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Potrafi wskazać na praktyczne konsekwencje jednostkowe jak i społeczne różnych wyników badań w kontekście dziedzin zastosowania psychologii.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PSYCH_U02</w:t>
            </w:r>
          </w:p>
        </w:tc>
      </w:tr>
      <w:tr>
        <w:trPr>
          <w:trHeight w:val="588" w:hRule="atLeast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837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w zakresie </w:t>
            </w:r>
            <w:r>
              <w:rPr>
                <w:b/>
                <w:kern w:val="2"/>
                <w:sz w:val="24"/>
                <w:szCs w:val="24"/>
                <w:shd w:fill="ECF1F8" w:val="clear"/>
                <w:lang w:val="pl-PL" w:eastAsia="pl-PL" w:bidi="ar-SA"/>
              </w:rPr>
              <w:t>kompetencji społecznych</w:t>
            </w:r>
            <w:r>
              <w:rPr>
                <w:b/>
                <w:kern w:val="2"/>
                <w:sz w:val="24"/>
                <w:szCs w:val="24"/>
                <w:lang w:val="pl-PL" w:eastAsia="pl-PL" w:bidi="ar-SA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</w:r>
          </w:p>
        </w:tc>
      </w:tr>
      <w:tr>
        <w:trPr>
          <w:trHeight w:val="304" w:hRule="atLeast"/>
        </w:trPr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Potrafi formułować opinie dotyczące różnych aspektów dziedzin zastosowania psychologii  we współpracy z przedstawicielami innych dyscyplin.</w:t>
            </w:r>
          </w:p>
        </w:tc>
        <w:tc>
          <w:tcPr>
            <w:tcW w:w="17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kern w:val="0"/>
                <w:sz w:val="22"/>
                <w:szCs w:val="22"/>
              </w:rPr>
              <w:t>PSYCH_K03</w:t>
            </w:r>
          </w:p>
        </w:tc>
      </w:tr>
    </w:tbl>
    <w:p>
      <w:pPr>
        <w:pStyle w:val="Normal"/>
        <w:numPr>
          <w:ilvl w:val="1"/>
          <w:numId w:val="1"/>
        </w:numPr>
        <w:spacing w:lineRule="auto" w:line="269" w:before="0" w:after="127"/>
        <w:ind w:hanging="566" w:start="1118"/>
        <w:rPr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>
      <w:pPr>
        <w:pStyle w:val="Normal"/>
        <w:spacing w:before="0" w:after="22"/>
        <w:ind w:hanging="10" w:start="1286" w:end="1"/>
        <w:jc w:val="center"/>
        <w:rPr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jc w:val="start"/>
        <w:tblInd w:w="316" w:type="dxa"/>
        <w:tblLayout w:type="fixed"/>
        <w:tblCellMar>
          <w:top w:w="48" w:type="dxa"/>
          <w:start w:w="5" w:type="dxa"/>
          <w:bottom w:w="0" w:type="dxa"/>
          <w:end w:w="5" w:type="dxa"/>
        </w:tblCellMar>
        <w:tblLook w:val="04a0" w:firstRow="1" w:noVBand="1" w:lastRow="0" w:firstColumn="1" w:lastColumn="0" w:noHBand="0"/>
      </w:tblPr>
      <w:tblGrid>
        <w:gridCol w:w="1273"/>
        <w:gridCol w:w="1231"/>
        <w:gridCol w:w="1219"/>
        <w:gridCol w:w="1207"/>
        <w:gridCol w:w="1210"/>
        <w:gridCol w:w="1203"/>
        <w:gridCol w:w="1217"/>
        <w:gridCol w:w="1284"/>
      </w:tblGrid>
      <w:tr>
        <w:trPr>
          <w:trHeight w:val="1482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Efekty przedmiotowe</w:t>
            </w:r>
          </w:p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Egzamin ustny/ </w:t>
            </w:r>
          </w:p>
          <w:p>
            <w:pPr>
              <w:pStyle w:val="Normal"/>
              <w:widowControl/>
              <w:tabs>
                <w:tab w:val="clear" w:pos="708"/>
                <w:tab w:val="right" w:pos="1232" w:leader="none"/>
              </w:tabs>
              <w:suppressAutoHyphens w:val="true"/>
              <w:spacing w:before="0" w:after="17"/>
              <w:ind w:start="-15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ab/>
              <w:t xml:space="preserve">pisemny/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praktyczny/ inny </w:t>
            </w:r>
            <w:r>
              <w:rPr>
                <w:b/>
                <w:kern w:val="2"/>
                <w:sz w:val="20"/>
                <w:szCs w:val="24"/>
                <w:lang w:val="pl-PL" w:eastAsia="pl-PL" w:bidi="ar-SA"/>
              </w:rPr>
              <w:t>(jaki?)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* 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Kolokwium* 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Projekt* </w:t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Aktywność na zajęciach* </w:t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Praca własna*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Praca w grupie* 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b/>
                <w:kern w:val="2"/>
                <w:sz w:val="20"/>
                <w:szCs w:val="24"/>
                <w:lang w:val="pl-PL" w:eastAsia="pl-PL" w:bidi="ar-SA"/>
              </w:rPr>
              <w:t xml:space="preserve">(jakie?):* </w:t>
              <w:br/>
              <w:t>prezentacja multimedialna</w:t>
            </w:r>
          </w:p>
        </w:tc>
      </w:tr>
      <w:tr>
        <w:trPr>
          <w:trHeight w:val="24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  <w:t>W03</w:t>
            </w:r>
          </w:p>
        </w:tc>
        <w:tc>
          <w:tcPr>
            <w:tcW w:w="12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164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  <w:tr>
        <w:trPr>
          <w:trHeight w:val="22" w:hRule="atLeast"/>
        </w:trPr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CF1F8" w:val="clea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alibri" w:hAnsi="Calibri"/>
                <w:kern w:val="2"/>
                <w:sz w:val="22"/>
                <w:szCs w:val="22"/>
                <w:lang w:val="pl-PL" w:eastAsia="pl-PL" w:bidi="ar-SA"/>
              </w:rPr>
            </w:pPr>
            <w:r>
              <w:rPr>
                <w:kern w:val="2"/>
                <w:sz w:val="22"/>
                <w:szCs w:val="22"/>
                <w:lang w:val="pl-PL" w:eastAsia="pl-PL" w:bidi="ar-SA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4" w:before="0" w:after="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90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12" w:end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203" w:end="155"/>
              <w:jc w:val="center"/>
              <w:rPr>
                <w:b/>
                <w:sz w:val="21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  <w:tc>
          <w:tcPr>
            <w:tcW w:w="1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64"/>
              <w:jc w:val="center"/>
              <w:rPr>
                <w:b/>
                <w:kern w:val="2"/>
                <w:sz w:val="21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+</w:t>
            </w:r>
          </w:p>
        </w:tc>
      </w:tr>
    </w:tbl>
    <w:p>
      <w:pPr>
        <w:pStyle w:val="Normal"/>
        <w:spacing w:before="0" w:after="22"/>
        <w:ind w:hanging="10" w:start="1286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10069" w:type="dxa"/>
        <w:jc w:val="start"/>
        <w:tblInd w:w="2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164"/>
        <w:gridCol w:w="425"/>
        <w:gridCol w:w="425"/>
        <w:gridCol w:w="426"/>
        <w:gridCol w:w="425"/>
        <w:gridCol w:w="425"/>
        <w:gridCol w:w="427"/>
        <w:gridCol w:w="426"/>
        <w:gridCol w:w="425"/>
        <w:gridCol w:w="425"/>
        <w:gridCol w:w="425"/>
        <w:gridCol w:w="426"/>
        <w:gridCol w:w="423"/>
        <w:gridCol w:w="398"/>
        <w:gridCol w:w="426"/>
        <w:gridCol w:w="425"/>
        <w:gridCol w:w="427"/>
        <w:gridCol w:w="425"/>
        <w:gridCol w:w="426"/>
        <w:gridCol w:w="425"/>
        <w:gridCol w:w="425"/>
        <w:gridCol w:w="425"/>
      </w:tblGrid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8890" distB="8890" distL="5080" distR="4445" simplePos="0" relativeHeight="2" behindDoc="0" locked="0" layoutInCell="1" allowOverlap="1" wp14:anchorId="3BCAED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5080" t="8890" r="4445" b="8890"/>
                      <wp:wrapNone/>
                      <wp:docPr id="1" name="Łącznik prosty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80" cy="343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5608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25pt,1.15pt" to="50.2pt,28.1pt" stroked="t" o:allowincell="t" style="position:absolute" wp14:anchorId="3BCAED55">
                      <v:stroke color="#156082" weight="190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 xml:space="preserve">               </w:t>
            </w: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1:</w:t>
            </w:r>
          </w:p>
          <w:p>
            <w:pPr>
              <w:pStyle w:val="Normal"/>
              <w:widowControl/>
              <w:suppressAutoHyphens w:val="true"/>
              <w:spacing w:before="0" w:after="22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2: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W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C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…</w:t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63" w:hRule="atLeast"/>
        </w:trPr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63" w:hRule="atLeast"/>
        </w:trPr>
        <w:tc>
          <w:tcPr>
            <w:tcW w:w="116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kern w:val="2"/>
                <w:sz w:val="20"/>
                <w:szCs w:val="20"/>
                <w:lang w:val="pl-PL" w:eastAsia="pl-PL" w:bidi="ar-SA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W03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U02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164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pl-PL" w:eastAsia="pl-PL" w:bidi="ar-SA"/>
              </w:rPr>
              <w:t>K01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8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2"/>
                <w:sz w:val="20"/>
                <w:szCs w:val="20"/>
                <w:lang w:val="pl-PL" w:eastAsia="pl-PL" w:bidi="ar-SA"/>
              </w:rPr>
              <w:t>+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before="0"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0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69" w:before="0" w:after="131"/>
        <w:ind w:hanging="566" w:start="1118"/>
        <w:rPr/>
      </w:pPr>
      <w:r>
        <w:rPr>
          <w:b/>
          <w:sz w:val="24"/>
        </w:rPr>
        <w:t xml:space="preserve">Kryteria oceny stopnia osiągnięcia efektów uczenia się </w:t>
      </w:r>
    </w:p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322"/>
        <w:rPr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jc w:val="start"/>
        <w:tblInd w:w="31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61"/>
        <w:gridCol w:w="8881"/>
      </w:tblGrid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8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cs="Calibri"/>
                <w:bCs/>
                <w:kern w:val="0"/>
                <w:sz w:val="20"/>
                <w:szCs w:val="20"/>
              </w:rPr>
              <w:t xml:space="preserve">min. 50 % poprawnych odpowiedzi z kolokwium zaliczeniowego 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cs="Calibri"/>
                <w:bCs/>
                <w:kern w:val="0"/>
                <w:sz w:val="20"/>
                <w:szCs w:val="20"/>
              </w:rPr>
              <w:t>min. 61 % poprawnych odpowiedzi z kolokwium zaliczeniowego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cs="Calibri"/>
                <w:bCs/>
                <w:kern w:val="0"/>
                <w:sz w:val="20"/>
                <w:szCs w:val="20"/>
              </w:rPr>
              <w:t xml:space="preserve">min. 71 % poprawnych odpowiedzi z kolokwium zaliczeniowego 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4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cs="Calibri"/>
                <w:bCs/>
                <w:kern w:val="0"/>
                <w:sz w:val="20"/>
                <w:szCs w:val="20"/>
              </w:rPr>
              <w:t xml:space="preserve">min. 81 % poprawnych odpowiedzi z kolokwium zaliczeniowego </w:t>
            </w:r>
          </w:p>
        </w:tc>
      </w:tr>
      <w:tr>
        <w:trPr>
          <w:trHeight w:val="305" w:hRule="atLeast"/>
        </w:trPr>
        <w:tc>
          <w:tcPr>
            <w:tcW w:w="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cs="Calibri"/>
                <w:bCs/>
                <w:kern w:val="0"/>
                <w:sz w:val="20"/>
                <w:szCs w:val="20"/>
              </w:rPr>
              <w:t xml:space="preserve">min. 91 % poprawnych odpowiedzi z kolokwium zaliczeniowego 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/>
      </w:pPr>
      <w:r>
        <w:rPr>
          <w:b/>
          <w:sz w:val="24"/>
        </w:rPr>
        <w:t xml:space="preserve">Forma zajęć: </w:t>
      </w:r>
    </w:p>
    <w:p>
      <w:pPr>
        <w:pStyle w:val="Normal"/>
        <w:spacing w:before="0" w:after="22"/>
        <w:ind w:hanging="10" w:start="236"/>
        <w:rPr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jc w:val="start"/>
        <w:tblInd w:w="324" w:type="dxa"/>
        <w:tblLayout w:type="fixed"/>
        <w:tblCellMar>
          <w:top w:w="48" w:type="dxa"/>
          <w:start w:w="108" w:type="dxa"/>
          <w:bottom w:w="0" w:type="dxa"/>
          <w:end w:w="115" w:type="dxa"/>
        </w:tblCellMar>
        <w:tblLook w:val="04a0" w:firstRow="1" w:noVBand="1" w:lastRow="0" w:firstColumn="1" w:lastColumn="0" w:noHBand="0"/>
      </w:tblPr>
      <w:tblGrid>
        <w:gridCol w:w="953"/>
        <w:gridCol w:w="8873"/>
      </w:tblGrid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2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6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Kryterium oceny 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color w:val="00000A"/>
                <w:kern w:val="0"/>
                <w:sz w:val="20"/>
                <w:szCs w:val="20"/>
              </w:rPr>
              <w:t xml:space="preserve">Opanował materiał w stopniu podstawowym i uzyskał na kolokwium przynajmniej 50% odpowiedzi pozytywnych oraz wykonał prezentację multimedialną na podstawowym poziomie 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color w:val="00000A"/>
                <w:kern w:val="0"/>
                <w:sz w:val="20"/>
                <w:szCs w:val="20"/>
              </w:rPr>
              <w:t xml:space="preserve">Opanował materiał w stopniu zadowalającym i uzyskał na kolokwium przynajmniej 61% odpowiedzi pozytywnych oraz wykonał prezentację multimedialną na zadowalającym poziomie 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color w:val="00000A"/>
                <w:kern w:val="0"/>
                <w:sz w:val="20"/>
                <w:szCs w:val="20"/>
              </w:rPr>
              <w:t xml:space="preserve">Opanował materiał w stopniu dobrym i uzyskał na kolokwium przynajmniej 71% odpowiedzi pozytywnych oraz wykonał prezentację multimedialną na dobrym poziomie 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color w:val="00000A"/>
                <w:kern w:val="0"/>
                <w:sz w:val="20"/>
                <w:szCs w:val="20"/>
              </w:rPr>
              <w:t>Opanował materiał w stopniu ponad dobrym i uzyskał na kolokwium przynajmniej 81% odpowiedzi pozytywnych oraz wykonał prezentację multimedialną na ponad dobrym poziomie</w:t>
            </w:r>
          </w:p>
        </w:tc>
      </w:tr>
      <w:tr>
        <w:trPr>
          <w:trHeight w:val="305" w:hRule="atLeast"/>
        </w:trPr>
        <w:tc>
          <w:tcPr>
            <w:tcW w:w="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7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color w:val="00000A"/>
                <w:kern w:val="0"/>
                <w:sz w:val="20"/>
                <w:szCs w:val="20"/>
              </w:rPr>
              <w:t>Opanował materiał w stopniu bardzo dobrym i uzyskał na kolokwium przynajmniej 91% odpowiedzi pozytywnych oraz wykonał prezentację multimedialną na bardzo dobrym poziomie</w:t>
            </w:r>
          </w:p>
        </w:tc>
      </w:tr>
    </w:tbl>
    <w:p>
      <w:pPr>
        <w:pStyle w:val="Normal"/>
        <w:spacing w:before="0" w:after="22"/>
        <w:ind w:hanging="10" w:start="1286" w:end="1279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spacing w:lineRule="auto" w:line="269" w:before="0" w:after="0"/>
        <w:ind w:hanging="360" w:start="850"/>
        <w:rPr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jc w:val="start"/>
        <w:tblInd w:w="313" w:type="dxa"/>
        <w:tblLayout w:type="fixed"/>
        <w:tblCellMar>
          <w:top w:w="47" w:type="dxa"/>
          <w:start w:w="112" w:type="dxa"/>
          <w:bottom w:w="0" w:type="dxa"/>
          <w:end w:w="97" w:type="dxa"/>
        </w:tblCellMar>
        <w:tblLook w:val="04a0" w:firstRow="1" w:noVBand="1" w:lastRow="0" w:firstColumn="1" w:lastColumn="0" w:noHBand="0"/>
      </w:tblPr>
      <w:tblGrid>
        <w:gridCol w:w="5501"/>
        <w:gridCol w:w="2173"/>
        <w:gridCol w:w="2171"/>
      </w:tblGrid>
      <w:tr>
        <w:trPr>
          <w:trHeight w:val="600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end="19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Kategoria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Obciążenie studenta: studia niestacjonarne </w:t>
            </w:r>
          </w:p>
        </w:tc>
      </w:tr>
      <w:tr>
        <w:trPr>
          <w:trHeight w:val="59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4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LICZBA GODZIN REALIZOWANYCH PRZY BEZPOŚREDNIM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25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Udział w ćwiczeniach*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</w:tr>
      <w:tr>
        <w:trPr>
          <w:trHeight w:val="601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end="79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598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17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SAMODZIELNA PRACA STUDENTA (GODZINY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b/>
                <w:bCs/>
              </w:rPr>
            </w:pPr>
            <w:r>
              <w:rPr>
                <w:b/>
                <w:bCs/>
                <w:kern w:val="2"/>
                <w:szCs w:val="24"/>
                <w:lang w:val="pl-PL" w:eastAsia="pl-PL" w:bidi="ar-SA"/>
              </w:rPr>
              <w:t>50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ćwiczeń*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15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Cs w:val="24"/>
                <w:lang w:val="pl-PL" w:eastAsia="pl-PL" w:bidi="ar-SA"/>
              </w:rPr>
              <w:t>10</w:t>
            </w:r>
          </w:p>
        </w:tc>
      </w:tr>
      <w:tr>
        <w:trPr>
          <w:trHeight w:val="306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Inne </w:t>
            </w:r>
            <w:r>
              <w:rPr>
                <w:kern w:val="2"/>
                <w:sz w:val="20"/>
                <w:szCs w:val="24"/>
                <w:lang w:val="pl-PL" w:eastAsia="pl-PL" w:bidi="ar-SA"/>
              </w:rPr>
              <w:t>(jakie?)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kern w:val="2"/>
                <w:sz w:val="21"/>
                <w:szCs w:val="24"/>
                <w:lang w:val="pl-PL" w:eastAsia="pl-PL" w:bidi="ar-SA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kern w:val="2"/>
                <w:sz w:val="21"/>
                <w:szCs w:val="24"/>
                <w:lang w:val="pl-PL" w:eastAsia="pl-PL" w:bidi="ar-SA"/>
              </w:rPr>
              <w:t xml:space="preserve">- 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75</w:t>
            </w:r>
          </w:p>
        </w:tc>
      </w:tr>
      <w:tr>
        <w:trPr>
          <w:trHeight w:val="304" w:hRule="atLeast"/>
        </w:trPr>
        <w:tc>
          <w:tcPr>
            <w:tcW w:w="5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0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 xml:space="preserve"> </w:t>
            </w: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2F2F2" w:val="clear"/>
          </w:tcPr>
          <w:p>
            <w:pPr>
              <w:pStyle w:val="Normal"/>
              <w:widowControl/>
              <w:suppressAutoHyphens w:val="true"/>
              <w:spacing w:before="0" w:after="0"/>
              <w:ind w:start="32"/>
              <w:jc w:val="center"/>
              <w:rPr>
                <w:kern w:val="2"/>
                <w:szCs w:val="24"/>
                <w:lang w:val="pl-PL" w:eastAsia="pl-PL" w:bidi="ar-SA"/>
              </w:rPr>
            </w:pPr>
            <w:r>
              <w:rPr>
                <w:b/>
                <w:kern w:val="2"/>
                <w:sz w:val="21"/>
                <w:szCs w:val="24"/>
                <w:lang w:val="pl-PL" w:eastAsia="pl-PL" w:bidi="ar-SA"/>
              </w:rPr>
              <w:t>3</w:t>
            </w:r>
          </w:p>
        </w:tc>
      </w:tr>
    </w:tbl>
    <w:p>
      <w:pPr>
        <w:pStyle w:val="Normal"/>
        <w:spacing w:before="0" w:after="0"/>
        <w:ind w:hanging="0" w:start="0"/>
        <w:rPr/>
      </w:pPr>
      <w:r>
        <w:rPr>
          <w:b/>
          <w:sz w:val="20"/>
        </w:rPr>
        <w:t xml:space="preserve">*niepotrzebne usunąć </w:t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602"/>
        <w:ind w:start="319"/>
        <w:rPr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>
      <w:pPr>
        <w:pStyle w:val="Normal"/>
        <w:spacing w:before="0" w:after="0"/>
        <w:ind w:end="278"/>
        <w:jc w:val="end"/>
        <w:rPr/>
      </w:pPr>
      <w:r>
        <w:rPr>
          <w:sz w:val="21"/>
        </w:rPr>
        <w:t>…………………………………………………………………………………………………………………………………………</w:t>
      </w:r>
      <w:r>
        <w:rPr>
          <w:sz w:val="21"/>
        </w:rPr>
        <w:t xml:space="preserve">.. </w:t>
      </w:r>
    </w:p>
    <w:sectPr>
      <w:type w:val="nextPage"/>
      <w:pgSz w:w="11906" w:h="16838"/>
      <w:pgMar w:left="720" w:right="716" w:gutter="0" w:header="0" w:top="768" w:footer="0" w:bottom="7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 Unicode MS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01"/>
    <w:family w:val="swiss"/>
    <w:pitch w:val="variable"/>
  </w:font>
  <w:font w:name="Aptos"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50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1118" w:hanging="0"/>
      </w:pPr>
      <w:rPr>
        <w:rFonts w:ascii="Calibri" w:hAnsi="Calibri" w:eastAsia="Calibri" w:cs="Calibri"/>
        <w:b/>
        <w:bCs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bullet"/>
      <w:lvlText w:val="•"/>
      <w:lvlJc w:val="start"/>
      <w:pPr>
        <w:tabs>
          <w:tab w:val="num" w:pos="0"/>
        </w:tabs>
        <w:ind w:start="979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13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08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80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352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424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963" w:hanging="0"/>
      </w:pPr>
      <w:rPr>
        <w:rFonts w:ascii="Calibri" w:hAnsi="Calibri" w:cs="Calibri" w:hint="default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1053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73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493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13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33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53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73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093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13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314"/>
      <w:ind w:end="7"/>
      <w:jc w:val="center"/>
      <w:outlineLvl w:val="0"/>
    </w:pPr>
    <w:rPr>
      <w:rFonts w:ascii="Calibri" w:hAnsi="Calibri" w:eastAsia="Calibri" w:cs="Calibri"/>
      <w:b/>
      <w:color w:val="000000"/>
      <w:kern w:val="2"/>
      <w:sz w:val="3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000000"/>
      <w:sz w:val="3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41360"/>
    <w:pPr>
      <w:spacing w:lineRule="auto" w:line="240" w:before="0" w:after="0"/>
      <w:ind w:start="720"/>
      <w:contextualSpacing/>
    </w:pPr>
    <w:rPr>
      <w:rFonts w:ascii="Arial Unicode MS" w:hAnsi="Arial Unicode MS" w:eastAsia="Arial Unicode MS" w:cs="Arial Unicode MS"/>
      <w:kern w:val="0"/>
      <w:sz w:val="24"/>
      <w:lang w:val="pl-PL"/>
      <w14:ligatures w14:val="none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Bodytext36">
    <w:name w:val="Body text (3)6"/>
    <w:basedOn w:val="Normal"/>
    <w:qFormat/>
    <w:pPr>
      <w:shd w:val="clear" w:color="auto" w:fill="FFFFFF"/>
      <w:spacing w:lineRule="exact" w:line="293" w:before="120" w:after="0"/>
      <w:ind w:hanging="420"/>
      <w:jc w:val="both"/>
    </w:pPr>
    <w:rPr>
      <w:sz w:val="21"/>
      <w:szCs w:val="21"/>
      <w:lang w:val="x-none" w:eastAsia="x-none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eastAsia="Calibri"/>
    </w:rPr>
  </w:style>
  <w:style w:type="paragraph" w:styleId="TableParagraph">
    <w:name w:val="Table Paragraph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LibreOffice/26.2.4.2$Windows_X86_64 LibreOffice_project/0229ac93fcf0d7cbc6376066c6f35021cef002dc</Application>
  <AppVersion>15.0000</AppVersion>
  <Pages>5</Pages>
  <Words>1093</Words>
  <Characters>7035</Characters>
  <CharactersWithSpaces>7988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2026-02-09T10:15:00Z</dcterms:created>
  <dc:creator>Rektor UJK</dc:creator>
  <dc:description/>
  <cp:keywords>Zarządzenie nr 189-2025 Budowa programu studiów Załącznik nr 4</cp:keywords>
  <dc:language>pl-PL</dc:language>
  <cp:lastModifiedBy/>
  <dcterms:modified xsi:type="dcterms:W3CDTF">2026-06-28T14:54:34Z</dcterms:modified>
  <cp:revision>9</cp:revision>
  <dc:subject/>
  <dc:title>Zarządzenie nr 189-2025 Budowa programu studiów Załącznik nr 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