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6889" w:start="6889"/>
        <w:jc w:val="end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iCs/>
          <w:color w:themeColor="text1" w:val="000000"/>
          <w:sz w:val="24"/>
          <w:szCs w:val="24"/>
        </w:rPr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76" w:before="240" w:after="240"/>
        <w:ind w:start="425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0313.3.PSY.B08.KI</w:t>
      </w:r>
    </w:p>
    <w:p>
      <w:pPr>
        <w:pStyle w:val="Heading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w języku polskim: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  <w:sz w:val="20"/>
          <w:szCs w:val="20"/>
        </w:rPr>
        <w:t>Komunikacja interpersonalna</w:t>
      </w:r>
    </w:p>
    <w:p>
      <w:pPr>
        <w:pStyle w:val="Styl1"/>
        <w:spacing w:lineRule="auto" w:line="276"/>
        <w:ind w:firstLine="426"/>
        <w:rPr>
          <w:i w:val="false"/>
          <w:iCs/>
          <w:color w:themeColor="text1" w:val="000000"/>
        </w:rPr>
      </w:pPr>
      <w:r>
        <w:rPr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i w:val="false"/>
          <w:iCs/>
          <w:color w:themeColor="text1" w:val="000000"/>
        </w:rPr>
        <w:t>Interpersonal Communication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738"/>
        <w:gridCol w:w="5009"/>
      </w:tblGrid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Psychologia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dr Agata Sitko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8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cstheme="minorHAnsi"/>
                <w:color w:themeColor="text1" w:val="000000"/>
                <w:kern w:val="0"/>
                <w:sz w:val="22"/>
                <w:szCs w:val="22"/>
              </w:rPr>
              <w:t>agata.sitko@ujk.edu.pl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208" w:end="183"/>
              <w:jc w:val="start"/>
              <w:rPr>
                <w:sz w:val="20"/>
                <w:szCs w:val="20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0"/>
                <w:szCs w:val="20"/>
              </w:rPr>
              <w:t>Pozytywna ocena z Wprowadzenia do Psychologii i aktywny udział  w Warsztacie Integracyjnym.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3"/>
        <w:gridCol w:w="6283"/>
      </w:tblGrid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3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282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18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18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Zaliczenie z oceną (w) zaliczenie z ocena (ćw)</w:t>
            </w:r>
          </w:p>
        </w:tc>
      </w:tr>
      <w:tr>
        <w:trPr>
          <w:trHeight w:val="282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ind w:start="106" w:end="183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 xml:space="preserve">Wykład: Wykład informacyjny. Wykład problemowy. Wykład konwersatoryjny. </w:t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start="106" w:end="183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Ćwiczenia: Warsztat. Dyskusja wielokrotna (grupowa). Metaplan. Dyskusja - burza mózgów. Film.</w:t>
            </w:r>
          </w:p>
        </w:tc>
      </w:tr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1. Adler, R. B., Rosenfeld, L. B., Proctor II, R. F. (2021). </w:t>
            </w:r>
            <w:r>
              <w:rPr>
                <w:rFonts w:cs="Calibri" w:ascii="Calibri" w:hAnsi="Calibri" w:cstheme="minorHAnsi"/>
                <w:i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Relacje interpersonalne: Proces porozumiewania się</w:t>
            </w: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 (G. Skoczylas, tłum.; wyd. 3 zm.). DWR.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 xml:space="preserve">2. McKay, M., Davis, M., Fanning, P. (2021).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</w:rPr>
              <w:t>Sztuka skutecznego porozumiewania się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. GWP.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3. Pease, A., Pease, B. (2023). 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Mowa ciała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. Rebis.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4. Rosenberg, M. B. (2015). 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Nonviolent communication: A language of life: Life-changing tools for healthy relationships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 xml:space="preserve"> (3rd ed.). 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PDP.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5. Stewart, J. R. (2020).</w:t>
            </w:r>
            <w:r>
              <w:rPr>
                <w:rFonts w:cs="Calibri" w:ascii="Calibri" w:hAnsi="Calibri" w:cstheme="minorHAnsi"/>
                <w:iCs/>
                <w:color w:val="222222"/>
                <w:kern w:val="0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</w:rPr>
              <w:t>Mosty zamiast murów: podręcznik komunikacji interpersonalnej.</w:t>
            </w:r>
            <w:r>
              <w:rPr>
                <w:rFonts w:cs="Calibri" w:ascii="Calibri" w:hAnsi="Calibri" w:cstheme="minorHAnsi"/>
                <w:iCs/>
                <w:color w:val="222222"/>
                <w:kern w:val="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PWN.</w:t>
            </w:r>
          </w:p>
        </w:tc>
      </w:tr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 xml:space="preserve">1. Dziewiecki, M. (2019).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</w:rPr>
              <w:t>Komunikacja: Kochaj i mów co chcesz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 xml:space="preserve">. 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RTCK.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 xml:space="preserve">2. Kurcz, I. (2007). Język i komunikacja. W: J. Strelau (red.), </w:t>
            </w:r>
            <w:r>
              <w:rPr>
                <w:rFonts w:cs="Calibri" w:ascii="Calibri" w:hAnsi="Calibri" w:cstheme="minorHAnsi"/>
                <w:i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Psychologia. Podręcznik akademicki</w:t>
            </w: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 xml:space="preserve"> (t. 2, 231–274). GWP.</w:t>
            </w:r>
          </w:p>
          <w:p>
            <w:pPr>
              <w:pStyle w:val="TableParagraph"/>
              <w:tabs>
                <w:tab w:val="clear" w:pos="720"/>
              </w:tabs>
              <w:suppressAutoHyphens w:val="true"/>
              <w:spacing w:lineRule="auto" w:line="240" w:before="0" w:after="23"/>
              <w:ind w:hanging="312" w:start="363" w:end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>3. Schulz von Thun, F. (2003).</w:t>
            </w: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</w:rPr>
              <w:t>Sztuka rozmawiania. Analiza zaburzeń.</w:t>
            </w:r>
            <w:r>
              <w:rPr>
                <w:rFonts w:cs="Calibri" w:ascii="Calibri" w:hAnsi="Calibri" w:cstheme="minorHAnsi"/>
                <w:i/>
                <w:iCs/>
                <w:color w:themeColor="text1"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WAM.</w:t>
            </w:r>
          </w:p>
        </w:tc>
      </w:tr>
    </w:tbl>
    <w:p>
      <w:pPr>
        <w:pStyle w:val="Heading2"/>
        <w:numPr>
          <w:ilvl w:val="0"/>
          <w:numId w:val="0"/>
        </w:numPr>
        <w:shd w:val="clear" w:color="auto" w:fill="auto"/>
        <w:snapToGrid w:val="false"/>
        <w:spacing w:lineRule="auto" w:line="276" w:before="120" w:after="120"/>
        <w:ind w:hanging="0" w:start="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iCs/>
          <w:color w:themeColor="text1" w:val="000000"/>
          <w:sz w:val="24"/>
          <w:szCs w:val="24"/>
        </w:rPr>
        <w:t>Cele przedmiotu (zajęć) (z uwzględnieniem formy zajęć)</w:t>
      </w:r>
    </w:p>
    <w:p>
      <w:pPr>
        <w:pStyle w:val="TableParagraph"/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iCs/>
          <w:color w:themeColor="text1" w:val="000000"/>
          <w:sz w:val="24"/>
          <w:szCs w:val="24"/>
        </w:rPr>
      </w:r>
    </w:p>
    <w:p>
      <w:pPr>
        <w:pStyle w:val="TableParagraph"/>
        <w:snapToGrid w:val="false"/>
        <w:spacing w:lineRule="auto" w:line="240"/>
        <w:ind w:hanging="567" w:start="1134"/>
        <w:jc w:val="both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iCs/>
          <w:color w:themeColor="text1" w:val="000000"/>
          <w:sz w:val="24"/>
          <w:szCs w:val="24"/>
        </w:rPr>
        <w:t>Wykłady</w:t>
      </w:r>
    </w:p>
    <w:p>
      <w:pPr>
        <w:pStyle w:val="TableParagraph"/>
        <w:numPr>
          <w:ilvl w:val="0"/>
          <w:numId w:val="3"/>
        </w:numPr>
        <w:spacing w:lineRule="auto" w:line="240"/>
        <w:ind w:hanging="284" w:start="993"/>
        <w:jc w:val="both"/>
        <w:rPr/>
      </w:pPr>
      <w:r>
        <w:rPr>
          <w:rFonts w:cs="Calibri" w:ascii="Calibri" w:hAnsi="Calibri" w:cstheme="minorHAnsi"/>
          <w:b/>
          <w:bCs/>
          <w:iCs/>
          <w:color w:themeColor="text1" w:val="000000"/>
          <w:sz w:val="22"/>
          <w:szCs w:val="22"/>
        </w:rPr>
        <w:t>C1.</w:t>
      </w:r>
      <w:r>
        <w:rPr>
          <w:rFonts w:cs="Calibri" w:ascii="Calibri" w:hAnsi="Calibri" w:cstheme="minorHAnsi"/>
          <w:iCs/>
          <w:sz w:val="22"/>
          <w:szCs w:val="22"/>
          <w:lang w:eastAsia="ar-SA"/>
        </w:rPr>
        <w:t xml:space="preserve"> Zapoznanie studentów z zasadami efektywnej komunikacji interpersonalnej.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3" w:leader="none"/>
        </w:tabs>
        <w:spacing w:lineRule="auto" w:line="240"/>
        <w:ind w:hanging="284" w:start="993"/>
        <w:jc w:val="both"/>
        <w:rPr/>
      </w:pPr>
      <w:r>
        <w:rPr>
          <w:rFonts w:cs="Calibri" w:ascii="Calibri" w:hAnsi="Calibri"/>
          <w:b/>
          <w:bCs/>
          <w:sz w:val="22"/>
          <w:szCs w:val="22"/>
          <w:lang w:eastAsia="ar-SA"/>
        </w:rPr>
        <w:t xml:space="preserve">C2. </w:t>
      </w:r>
      <w:r>
        <w:rPr>
          <w:rFonts w:cs="Calibri" w:ascii="Calibri" w:hAnsi="Calibri"/>
          <w:iCs/>
          <w:sz w:val="22"/>
          <w:szCs w:val="22"/>
          <w:lang w:eastAsia="ar-SA"/>
        </w:rPr>
        <w:t>Kształtowanie umiejętności poprawnego nadawania i odbierania komunikatów w sytuacjach interpersonalnych.</w:t>
      </w:r>
    </w:p>
    <w:p>
      <w:pPr>
        <w:pStyle w:val="Normal"/>
        <w:numPr>
          <w:ilvl w:val="0"/>
          <w:numId w:val="3"/>
        </w:numPr>
        <w:spacing w:lineRule="auto" w:line="240"/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  <w:lang w:eastAsia="ar-SA"/>
        </w:rPr>
        <w:t xml:space="preserve">C3. </w:t>
      </w:r>
      <w:r>
        <w:rPr>
          <w:rFonts w:cs="Calibri" w:ascii="Calibri" w:hAnsi="Calibri"/>
          <w:iCs/>
          <w:sz w:val="22"/>
          <w:szCs w:val="22"/>
          <w:lang w:eastAsia="ar-SA"/>
        </w:rPr>
        <w:t>Kształcenie umiejętności diagnozowania barier komunikacyjnych.</w:t>
      </w:r>
    </w:p>
    <w:p>
      <w:pPr>
        <w:pStyle w:val="Normal"/>
        <w:numPr>
          <w:ilvl w:val="0"/>
          <w:numId w:val="3"/>
        </w:numPr>
        <w:spacing w:lineRule="atLeast" w:line="100"/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  <w:lang w:eastAsia="ar-SA"/>
        </w:rPr>
        <w:t>C4</w:t>
      </w:r>
      <w:r>
        <w:rPr>
          <w:rFonts w:cs="Calibri" w:ascii="Calibri" w:hAnsi="Calibri"/>
          <w:i/>
          <w:iCs/>
          <w:sz w:val="22"/>
          <w:szCs w:val="22"/>
          <w:lang w:eastAsia="ar-SA"/>
        </w:rPr>
        <w:t xml:space="preserve">. </w:t>
      </w:r>
      <w:r>
        <w:rPr>
          <w:rFonts w:cs="Calibri" w:ascii="Calibri" w:hAnsi="Calibri"/>
          <w:iCs/>
          <w:sz w:val="22"/>
          <w:szCs w:val="22"/>
          <w:lang w:eastAsia="ar-SA"/>
        </w:rPr>
        <w:t xml:space="preserve"> Kształtowanie odpowiedzialności za proces porozumiewania się.</w:t>
      </w:r>
    </w:p>
    <w:p>
      <w:pPr>
        <w:pStyle w:val="TableParagraph"/>
        <w:spacing w:lineRule="auto" w:line="276"/>
        <w:ind w:start="709"/>
        <w:rPr>
          <w:rFonts w:ascii="Calibri" w:hAnsi="Calibri" w:cs="Calibri"/>
          <w:b/>
          <w:bCs/>
          <w:iCs/>
          <w:sz w:val="20"/>
          <w:szCs w:val="20"/>
          <w:lang w:eastAsia="ar-SA"/>
        </w:rPr>
      </w:pPr>
      <w:r>
        <w:rPr>
          <w:rFonts w:cs="Calibri" w:ascii="Calibri" w:hAnsi="Calibri"/>
          <w:b/>
          <w:bCs/>
          <w:iCs/>
          <w:sz w:val="20"/>
          <w:szCs w:val="20"/>
          <w:lang w:eastAsia="ar-SA"/>
        </w:rPr>
      </w:r>
    </w:p>
    <w:p>
      <w:pPr>
        <w:pStyle w:val="TableParagraph"/>
        <w:spacing w:lineRule="auto" w:line="276"/>
        <w:ind w:start="709"/>
        <w:rPr>
          <w:rFonts w:ascii="Calibri" w:hAnsi="Calibri" w:cs="Calibri" w:cs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iCs/>
          <w:color w:themeColor="text1" w:val="000000"/>
          <w:sz w:val="24"/>
          <w:szCs w:val="24"/>
        </w:rPr>
        <w:t>Ćwiczenia</w:t>
      </w:r>
    </w:p>
    <w:p>
      <w:pPr>
        <w:pStyle w:val="Normal"/>
        <w:numPr>
          <w:ilvl w:val="0"/>
          <w:numId w:val="9"/>
        </w:numPr>
        <w:snapToGrid w:val="false"/>
        <w:spacing w:lineRule="auto" w:line="240"/>
        <w:jc w:val="both"/>
        <w:rPr>
          <w:sz w:val="22"/>
          <w:szCs w:val="22"/>
        </w:rPr>
      </w:pPr>
      <w:r>
        <w:rPr>
          <w:rFonts w:cs="Calibri" w:ascii="Calibri" w:hAnsi="Calibri" w:cstheme="minorHAnsi"/>
          <w:b/>
          <w:bCs/>
          <w:iCs/>
          <w:color w:themeColor="text1" w:val="000000"/>
          <w:sz w:val="22"/>
          <w:szCs w:val="22"/>
        </w:rPr>
        <w:t>C1.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lang w:eastAsia="ar-SA"/>
        </w:rPr>
        <w:t xml:space="preserve"> </w:t>
      </w:r>
      <w:r>
        <w:rPr>
          <w:rFonts w:cs="Calibri" w:ascii="Calibri" w:hAnsi="Calibri" w:cstheme="minorHAnsi"/>
          <w:iCs/>
          <w:sz w:val="22"/>
          <w:szCs w:val="22"/>
          <w:lang w:eastAsia="ar-SA"/>
        </w:rPr>
        <w:t>Poznanie osobistych sposobów reagowania studenta w sytuacji występowania barier komunikacyjnych.</w:t>
      </w:r>
    </w:p>
    <w:p>
      <w:pPr>
        <w:pStyle w:val="Normal"/>
        <w:numPr>
          <w:ilvl w:val="0"/>
          <w:numId w:val="9"/>
        </w:numPr>
        <w:snapToGrid w:val="false"/>
        <w:spacing w:lineRule="auto" w:line="240"/>
        <w:jc w:val="both"/>
        <w:rPr/>
      </w:pPr>
      <w:r>
        <w:rPr>
          <w:rFonts w:eastAsia="Courier New" w:cs="Calibri" w:ascii="Calibri" w:hAnsi="Calibri"/>
          <w:b/>
          <w:sz w:val="22"/>
          <w:szCs w:val="22"/>
          <w:lang w:eastAsia="ar-SA"/>
        </w:rPr>
        <w:t>C2</w:t>
      </w:r>
      <w:r>
        <w:rPr>
          <w:rFonts w:eastAsia="Courier New" w:cs="Calibri" w:ascii="Calibri" w:hAnsi="Calibri"/>
          <w:b/>
          <w:i/>
          <w:iCs/>
          <w:sz w:val="22"/>
          <w:szCs w:val="22"/>
          <w:lang w:eastAsia="ar-SA"/>
        </w:rPr>
        <w:t>.</w:t>
      </w:r>
      <w:r>
        <w:rPr>
          <w:rFonts w:eastAsia="Courier New" w:cs="Calibri" w:ascii="Calibri" w:hAnsi="Calibri"/>
          <w:iCs/>
          <w:sz w:val="22"/>
          <w:szCs w:val="22"/>
          <w:lang w:eastAsia="ar-SA"/>
        </w:rPr>
        <w:t xml:space="preserve"> </w:t>
      </w:r>
      <w:r>
        <w:rPr>
          <w:rFonts w:eastAsia="Courier New" w:cs="Calibri" w:ascii="Calibri" w:hAnsi="Calibri"/>
          <w:sz w:val="22"/>
          <w:szCs w:val="22"/>
          <w:lang w:eastAsia="ar-SA"/>
        </w:rPr>
        <w:t>Ćwiczenie umiejętności słuchania empatycznego.</w:t>
      </w:r>
    </w:p>
    <w:p>
      <w:pPr>
        <w:pStyle w:val="Normal"/>
        <w:numPr>
          <w:ilvl w:val="0"/>
          <w:numId w:val="9"/>
        </w:numPr>
        <w:snapToGrid w:val="false"/>
        <w:spacing w:lineRule="auto" w:line="240"/>
        <w:jc w:val="both"/>
        <w:rPr/>
      </w:pPr>
      <w:r>
        <w:rPr>
          <w:rFonts w:eastAsia="Courier New" w:cs="Calibri" w:ascii="Calibri" w:hAnsi="Calibri"/>
          <w:b/>
          <w:sz w:val="22"/>
          <w:szCs w:val="22"/>
          <w:lang w:eastAsia="ar-SA"/>
        </w:rPr>
        <w:t>C3.</w:t>
      </w:r>
      <w:r>
        <w:rPr>
          <w:rFonts w:eastAsia="Courier New" w:cs="Calibri" w:ascii="Calibri" w:hAnsi="Calibri"/>
          <w:iCs/>
          <w:sz w:val="22"/>
          <w:szCs w:val="22"/>
          <w:lang w:eastAsia="ar-SA"/>
        </w:rPr>
        <w:t xml:space="preserve"> Doskonalenie komunikowania się asertywnego.</w:t>
      </w:r>
    </w:p>
    <w:p>
      <w:pPr>
        <w:pStyle w:val="Normal"/>
        <w:numPr>
          <w:ilvl w:val="0"/>
          <w:numId w:val="9"/>
        </w:numPr>
        <w:snapToGrid w:val="false"/>
        <w:spacing w:lineRule="auto" w:line="240"/>
        <w:jc w:val="both"/>
        <w:rPr>
          <w:sz w:val="22"/>
          <w:szCs w:val="22"/>
        </w:rPr>
      </w:pPr>
      <w:r>
        <w:rPr>
          <w:rFonts w:eastAsia="Courier New" w:cs="Calibri" w:ascii="Calibri" w:hAnsi="Calibri"/>
          <w:b/>
          <w:bCs/>
          <w:sz w:val="22"/>
          <w:szCs w:val="22"/>
          <w:lang w:eastAsia="ar-SA"/>
        </w:rPr>
        <w:t>C4</w:t>
      </w:r>
      <w:r>
        <w:rPr>
          <w:rFonts w:eastAsia="Courier New" w:cs="Calibri" w:ascii="Calibri" w:hAnsi="Calibri"/>
          <w:b/>
          <w:bCs/>
          <w:i/>
          <w:iCs/>
          <w:sz w:val="22"/>
          <w:szCs w:val="22"/>
          <w:lang w:eastAsia="ar-SA"/>
        </w:rPr>
        <w:t xml:space="preserve">. </w:t>
      </w:r>
      <w:r>
        <w:rPr>
          <w:rFonts w:eastAsia="Courier New" w:cs="Calibri" w:ascii="Calibri" w:hAnsi="Calibri"/>
          <w:sz w:val="22"/>
          <w:szCs w:val="22"/>
          <w:lang w:eastAsia="ar-SA"/>
        </w:rPr>
        <w:t>Kształtowanie umiejętności poprawnego nadawania i odbierania komunikatów.</w:t>
      </w:r>
    </w:p>
    <w:p>
      <w:pPr>
        <w:pStyle w:val="Normal"/>
        <w:snapToGrid w:val="false"/>
        <w:spacing w:lineRule="atLeast" w:line="200"/>
        <w:ind w:start="765"/>
        <w:rPr>
          <w:rFonts w:ascii="Calibri" w:hAnsi="Calibri" w:eastAsia="Courier New" w:cs="Calibri"/>
          <w:sz w:val="24"/>
          <w:szCs w:val="24"/>
          <w:lang w:eastAsia="ar-SA"/>
        </w:rPr>
      </w:pPr>
      <w:r>
        <w:rPr>
          <w:rFonts w:eastAsia="Courier New" w:cs="Calibri" w:ascii="Calibri" w:hAnsi="Calibri"/>
          <w:sz w:val="24"/>
          <w:szCs w:val="24"/>
          <w:lang w:eastAsia="ar-SA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Wykłady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Zapoznanie studentów z kartą przedmiotu i warunkami zaliczenia.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Proces porozumiewania się.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Style komunikacyjne.</w:t>
      </w:r>
    </w:p>
    <w:p>
      <w:pPr>
        <w:pStyle w:val="Normal"/>
        <w:numPr>
          <w:ilvl w:val="0"/>
          <w:numId w:val="4"/>
        </w:numPr>
        <w:ind w:hanging="284" w:start="993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Trudności w komunikacji.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Główne czynniki utrudniające komunikację.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Komunikacja w konflikcie interpersonalnym.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Słuchanie aktywne i empatyczne.</w:t>
      </w:r>
    </w:p>
    <w:p>
      <w:pPr>
        <w:pStyle w:val="Normal"/>
        <w:numPr>
          <w:ilvl w:val="0"/>
          <w:numId w:val="4"/>
        </w:numPr>
        <w:ind w:hanging="284" w:start="993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Koncepcje zachowań asertywnych.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Komunikowanie się asertywne.</w:t>
      </w:r>
    </w:p>
    <w:p>
      <w:pPr>
        <w:pStyle w:val="Normal"/>
        <w:numPr>
          <w:ilvl w:val="0"/>
          <w:numId w:val="4"/>
        </w:numPr>
        <w:snapToGrid w:val="false"/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/>
          <w:iCs/>
          <w:kern w:val="2"/>
          <w:sz w:val="22"/>
          <w:szCs w:val="22"/>
          <w:lang w:eastAsia="ar-SA"/>
        </w:rPr>
        <w:t>Granice w komunikacji asertywnej.</w:t>
      </w:r>
    </w:p>
    <w:p>
      <w:pPr>
        <w:pStyle w:val="Normal"/>
        <w:numPr>
          <w:ilvl w:val="0"/>
          <w:numId w:val="4"/>
        </w:numPr>
        <w:spacing w:lineRule="atLeast" w:line="100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Osobowościowe i kulturowe uwarunkowania komunikacji interpersonalnej.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/>
        <w:t>1.</w:t>
      </w:r>
      <w:r>
        <w:rPr>
          <w:rFonts w:eastAsia="Arial"/>
        </w:rPr>
        <w:t xml:space="preserve"> nie dotyczy</w:t>
      </w:r>
      <w:r>
        <w:rPr/>
        <w:t xml:space="preserve"> </w:t>
      </w:r>
    </w:p>
    <w:p>
      <w:pPr>
        <w:pStyle w:val="Normal"/>
        <w:spacing w:lineRule="atLeast" w:line="100"/>
        <w:ind w:start="99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Ćwiczenia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Charakterystyka komunikacji w relacji psychologicznej.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Typy komunikatu, kanały komunikacji.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Komunikacja niewerbalna, komunikacja werbalna.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Bariery utrudniające komunikację.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Style słuchania – kwestionariusz.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Aktywne, empatyczne słuchanie.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Ćwiczenie podstawowych zasad efektywnej komunikacji.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cstheme="minorHAnsi"/>
          <w:color w:themeColor="text1" w:val="000000"/>
          <w:sz w:val="22"/>
          <w:szCs w:val="22"/>
        </w:rPr>
        <w:t>Ćwiczenia na podstawie przykładowych psychologicznych teorii komunikacji interpersonalnej.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cstheme="minorHAnsi"/>
          <w:color w:themeColor="text1" w:val="000000"/>
          <w:sz w:val="22"/>
          <w:szCs w:val="22"/>
        </w:rPr>
        <w:t>Praca w grupie – omówienie prac studentów.</w:t>
      </w:r>
    </w:p>
    <w:p>
      <w:pPr>
        <w:pStyle w:val="TableParagraph"/>
        <w:numPr>
          <w:ilvl w:val="0"/>
          <w:numId w:val="5"/>
        </w:numPr>
        <w:spacing w:lineRule="auto" w:line="276"/>
        <w:ind w:hanging="284" w:start="993"/>
        <w:rPr>
          <w:sz w:val="22"/>
          <w:szCs w:val="22"/>
        </w:rPr>
      </w:pPr>
      <w:r>
        <w:rPr>
          <w:rFonts w:cs="Calibri" w:ascii="Calibri" w:hAnsi="Calibri" w:cstheme="minorHAnsi"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 w:cstheme="minorHAnsi"/>
          <w:color w:themeColor="text1" w:val="000000"/>
          <w:sz w:val="22"/>
          <w:szCs w:val="22"/>
        </w:rPr>
        <w:t>Kolokwium.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themeColor="text1" w:val="000000"/>
          <w:sz w:val="24"/>
          <w:szCs w:val="24"/>
        </w:rPr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69" w:before="0" w:after="0"/>
        <w:ind w:hanging="10" w:start="56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Inne</w:t>
      </w:r>
    </w:p>
    <w:p>
      <w:pPr>
        <w:pStyle w:val="Normal"/>
        <w:spacing w:before="0" w:after="22"/>
        <w:ind w:hanging="10" w:start="70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eastAsia="Arial" w:ascii="Calibri" w:hAnsi="Calibri"/>
          <w:sz w:val="24"/>
          <w:szCs w:val="24"/>
        </w:rPr>
        <w:t xml:space="preserve"> nie dotyczy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spacing w:before="0" w:after="24"/>
        <w:ind w:hanging="10" w:start="70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5"/>
        <w:gridCol w:w="6830"/>
        <w:gridCol w:w="1773"/>
      </w:tblGrid>
      <w:tr>
        <w:trPr>
          <w:trHeight w:val="980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Ma pogłębioną wiedzę o barierach w komunikacji interpersonalnej, słuchaniu empatycznym oraz komunikacji asertywnej.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PSYCH_W04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Zna zasady słuchania, tworzenia werbalizacji oraz komunikatów asertywnych jak i metody badawcze.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PSYCH_W05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Ma rozszerzoną wiedzę o roli porozumiewania się w różnych kontekstach społecznych i kulturowych.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PSYCH_W06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0"/>
        <w:gridCol w:w="6825"/>
        <w:gridCol w:w="1773"/>
      </w:tblGrid>
      <w:tr>
        <w:trPr>
          <w:trHeight w:val="285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6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Potrafi właściwie analizować przyczyny i przebieg procesu komunikowania się, formułować własne opinie na ten temat.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PSYCH_U01</w:t>
            </w:r>
          </w:p>
        </w:tc>
      </w:tr>
      <w:tr>
        <w:trPr>
          <w:trHeight w:val="282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U02</w:t>
            </w:r>
          </w:p>
        </w:tc>
        <w:tc>
          <w:tcPr>
            <w:tcW w:w="6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Potrafi wykorzystać wiedzę teoretyczną z zakresu komunikacji interpersonalnej oraz różnych technik i środków komunikacyjnych w celu wymiany opinii na temat psychologicznego funkcjonowania człowieka, psychologicznych osiągnięć naukowych i szerokiego propagowania wiedzy psychologicznej.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PSYCH_U03</w:t>
            </w:r>
          </w:p>
          <w:p>
            <w:pPr>
              <w:pStyle w:val="Normal"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sz w:val="21"/>
                <w:szCs w:val="21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U03</w:t>
            </w:r>
          </w:p>
        </w:tc>
        <w:tc>
          <w:tcPr>
            <w:tcW w:w="6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Posiada pogłębioną umiejętność stosowania technik natury badawczej efektywnego komunikowania się.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PSYCH_U07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Potrafi działać w sposób przedsiębiorczy w odniesieniu do działań w zawodzie psychologa i z wykorzystaniem technik komunikacji interpersonalnej.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PSYCH_K01</w:t>
            </w:r>
          </w:p>
        </w:tc>
      </w:tr>
      <w:tr>
        <w:trPr>
          <w:trHeight w:val="35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Potrafi współtworzyć projekty społeczne, przewidywać skutki społeczne swojej działalności w zawodzie psychologa w kontekście komunikacji interpersonalnej.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PSYCH_K05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42"/>
        <w:gridCol w:w="1231"/>
        <w:gridCol w:w="1228"/>
        <w:gridCol w:w="1228"/>
        <w:gridCol w:w="1224"/>
        <w:gridCol w:w="1228"/>
        <w:gridCol w:w="1228"/>
        <w:gridCol w:w="1232"/>
      </w:tblGrid>
      <w:tr>
        <w:trPr/>
        <w:tc>
          <w:tcPr>
            <w:tcW w:w="1242" w:type="dxa"/>
            <w:tcBorders/>
            <w:shd w:color="auto" w:fill="ECF1F8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Egzamin </w:t>
              <w:br/>
              <w:t>pisemny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33"/>
        <w:gridCol w:w="408"/>
        <w:gridCol w:w="413"/>
        <w:gridCol w:w="405"/>
        <w:gridCol w:w="409"/>
        <w:gridCol w:w="413"/>
        <w:gridCol w:w="405"/>
        <w:gridCol w:w="409"/>
        <w:gridCol w:w="413"/>
        <w:gridCol w:w="405"/>
        <w:gridCol w:w="409"/>
        <w:gridCol w:w="412"/>
        <w:gridCol w:w="406"/>
        <w:gridCol w:w="408"/>
        <w:gridCol w:w="413"/>
        <w:gridCol w:w="407"/>
        <w:gridCol w:w="407"/>
        <w:gridCol w:w="413"/>
        <w:gridCol w:w="408"/>
        <w:gridCol w:w="406"/>
        <w:gridCol w:w="413"/>
        <w:gridCol w:w="409"/>
      </w:tblGrid>
      <w:tr>
        <w:trPr/>
        <w:tc>
          <w:tcPr>
            <w:tcW w:w="123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  <w:r>
        <w:br w:type="page"/>
      </w:r>
    </w:p>
    <w:p>
      <w:pPr>
        <w:pStyle w:val="BodyText"/>
        <w:spacing w:lineRule="auto" w:line="276" w:before="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kern w:val="0"/>
                <w:sz w:val="21"/>
                <w:szCs w:val="21"/>
              </w:rPr>
              <w:t>min. 50 % poprawnych odpowiedzi z kolokwium zaliczeniowego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kern w:val="0"/>
                <w:sz w:val="21"/>
                <w:szCs w:val="21"/>
              </w:rPr>
              <w:t>min. 61 % poprawnych odpowiedzi z kolokwium zaliczeniowego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kern w:val="0"/>
                <w:sz w:val="21"/>
                <w:szCs w:val="21"/>
              </w:rPr>
              <w:t>min. 71 % poprawnych odpowiedzi z kolokwium zaliczeniowego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kern w:val="0"/>
                <w:sz w:val="21"/>
                <w:szCs w:val="21"/>
              </w:rPr>
              <w:t>min. 81 % poprawnych odpowiedzi z kolokwium zaliczeniowego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kern w:val="0"/>
                <w:sz w:val="21"/>
                <w:szCs w:val="21"/>
              </w:rPr>
              <w:t>min. 91 % poprawnych odpowiedzi z kolokwium zaliczeniowego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49"/>
        <w:gridCol w:w="8874"/>
      </w:tblGrid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min. 50 % poprawnych odpowiedzi z kolokwium, podstawowa aktywność na zajęciach, wykonanie pracy grupowej na podstawowym poziomie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min. 61 % poprawnych odpowiedzi z kolokwium, dostatecznie dobra aktywność na zajęciach, wykonanie pracy grupowej na zadowalającym poziomie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min. 71 % poprawnych odpowiedzi z kolokwium, dobra aktywność na zajęciach, wykonanie pracy grupowej na dobrym poziomie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tabs>
                <w:tab w:val="clear" w:pos="720"/>
                <w:tab w:val="left" w:pos="1360" w:leader="none"/>
              </w:tabs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min. 81 % poprawnych odpowiedzi z kolokwium, ponad dobra aktywność na zajęciach, wykonanie pracy grupowej na ponad dobrym poziomie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min. 91 % poprawnych odpowiedzi z kolokwium, bardzo dobra aktywność na zajęciach, wykonanie pracy grupowej na bardzo dobrym poziomie</w:t>
            </w:r>
          </w:p>
        </w:tc>
      </w:tr>
    </w:tbl>
    <w:p>
      <w:pPr>
        <w:pStyle w:val="TableParagraph"/>
        <w:spacing w:lineRule="auto" w:line="276" w:before="120" w:after="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14"/>
          <w:szCs w:val="14"/>
        </w:rPr>
      </w:pPr>
      <w:r>
        <w:rPr>
          <w:rFonts w:cs="Calibri" w:cstheme="minorHAnsi" w:ascii="Calibri" w:hAnsi="Calibri"/>
          <w:b/>
          <w:iCs/>
          <w:color w:themeColor="text1" w:val="000000"/>
          <w:sz w:val="14"/>
          <w:szCs w:val="14"/>
        </w:rPr>
      </w:r>
    </w:p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495"/>
        <w:gridCol w:w="2176"/>
        <w:gridCol w:w="2173"/>
      </w:tblGrid>
      <w:tr>
        <w:trPr>
          <w:trHeight w:val="460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Cs/>
                <w:kern w:val="0"/>
                <w:sz w:val="20"/>
                <w:szCs w:val="20"/>
              </w:rPr>
              <w:t>45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Cs/>
                <w:kern w:val="0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Cs/>
                <w:kern w:val="0"/>
                <w:sz w:val="20"/>
                <w:szCs w:val="20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Cs/>
                <w:kern w:val="0"/>
                <w:sz w:val="20"/>
                <w:szCs w:val="20"/>
              </w:rPr>
              <w:t>45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ćwiczeń*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kolokwium*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kern w:val="0"/>
                <w:sz w:val="20"/>
                <w:szCs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Inne: Praca w grupie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iCs/>
                <w:kern w:val="0"/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iCs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Cs/>
                <w:kern w:val="0"/>
                <w:sz w:val="20"/>
                <w:szCs w:val="20"/>
              </w:rPr>
              <w:t>75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Cs/>
                <w:kern w:val="0"/>
                <w:sz w:val="20"/>
                <w:szCs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Cs/>
                <w:kern w:val="0"/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Cs/>
                <w:kern w:val="0"/>
                <w:sz w:val="20"/>
                <w:szCs w:val="20"/>
              </w:rPr>
              <w:t>3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bullet"/>
      <w:lvlText w:val="•"/>
      <w:lvlJc w:val="start"/>
      <w:pPr>
        <w:tabs>
          <w:tab w:val="num" w:pos="0"/>
        </w:tabs>
        <w:ind w:star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7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99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71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43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15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87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59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31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03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756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996" w:hanging="360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71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43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15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87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59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31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03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756" w:hanging="180"/>
      </w:pPr>
      <w:rPr/>
    </w:lvl>
  </w:abstractNum>
  <w:abstractNum w:abstractNumId="6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7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069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429"/>
        </w:tabs>
        <w:ind w:star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149"/>
        </w:tabs>
        <w:ind w:start="21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09"/>
        </w:tabs>
        <w:ind w:star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229"/>
        </w:tabs>
        <w:ind w:start="32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589"/>
        </w:tabs>
        <w:ind w:star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LibreOffice/26.2.4.2$Windows_X86_64 LibreOffice_project/0229ac93fcf0d7cbc6376066c6f35021cef002dc</Application>
  <AppVersion>15.0000</AppVersion>
  <Pages>4</Pages>
  <Words>1053</Words>
  <Characters>6884</Characters>
  <CharactersWithSpaces>7650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2026-04-30T08:57:00Z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2026-06-28T14:57:10Z</dcterms:modified>
  <cp:revision>6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