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>
          <w:sz w:val="24"/>
        </w:rPr>
      </w:pPr>
      <w:r>
        <w:rPr>
          <w:sz w:val="24"/>
        </w:rPr>
        <w:t>Załącznik nr 4 do zarządzenia nr 189/2025</w:t>
      </w:r>
    </w:p>
    <w:p>
      <w:pPr>
        <w:pStyle w:val="Heading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themeColor="text1" w:val="000000"/>
        </w:rPr>
        <w:t>PRZEDMIOTU (ZAJĘĆ)</w:t>
      </w:r>
    </w:p>
    <w:p>
      <w:pPr>
        <w:pStyle w:val="BodyText"/>
        <w:tabs>
          <w:tab w:val="clear" w:pos="720"/>
          <w:tab w:val="left" w:pos="10065" w:leader="dot"/>
        </w:tabs>
        <w:spacing w:lineRule="auto" w:line="276" w:before="240" w:after="240"/>
        <w:ind w:start="425"/>
        <w:rPr/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Kod przedmiotu (zajęć):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0313.3PSY.B18.PsP</w:t>
      </w:r>
    </w:p>
    <w:p>
      <w:pPr>
        <w:pStyle w:val="Normal"/>
        <w:suppressAutoHyphens w:val="true"/>
        <w:snapToGrid w:val="false"/>
        <w:spacing w:lineRule="auto" w:line="276"/>
        <w:ind w:firstLine="425"/>
        <w:rPr/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 xml:space="preserve">Nazwa przedmiotu </w:t>
      </w:r>
      <w:bookmarkStart w:id="0" w:name="_Hlk210305669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 xml:space="preserve">(zajęć) </w:t>
      </w:r>
      <w:bookmarkEnd w:id="0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 xml:space="preserve">w języku polskim: </w:t>
      </w:r>
      <w:r>
        <w:rPr>
          <w:rFonts w:eastAsia="Arial Unicode MS" w:cs="Calibri" w:ascii="Calibri" w:hAnsi="Calibri" w:asciiTheme="minorHAnsi" w:cstheme="minorHAnsi" w:hAnsiTheme="minorHAnsi"/>
          <w:b/>
          <w:iCs/>
          <w:sz w:val="20"/>
          <w:szCs w:val="20"/>
          <w:lang w:eastAsia="ar-SA"/>
        </w:rPr>
        <w:t>Psychopatologia</w:t>
      </w:r>
    </w:p>
    <w:p>
      <w:pPr>
        <w:pStyle w:val="Styl1"/>
        <w:spacing w:lineRule="auto" w:line="276"/>
        <w:ind w:firstLine="426"/>
        <w:rPr>
          <w:rFonts w:ascii="Calibri" w:hAnsi="Calibri" w:cs="Calibri" w:asciiTheme="minorHAnsi" w:cstheme="minorHAnsi" w:hAnsiTheme="minorHAnsi"/>
          <w:i w:val="false"/>
          <w:iCs/>
          <w:color w:themeColor="text1" w:val="000000"/>
        </w:rPr>
      </w:pPr>
      <w:r>
        <w:rPr>
          <w:rFonts w:cs="Calibri" w:cstheme="minorHAnsi"/>
          <w:b/>
          <w:bCs/>
          <w:i w:val="false"/>
          <w:iCs/>
          <w:color w:themeColor="text1" w:val="000000"/>
        </w:rPr>
        <w:t xml:space="preserve">Nazwa przedmiotu (zajęć) w języku angielskim: </w:t>
      </w:r>
      <w:r>
        <w:rPr>
          <w:rFonts w:eastAsia="Arial Unicode MS" w:cs="Calibri" w:cstheme="minorHAnsi"/>
          <w:b w:val="false"/>
          <w:bCs w:val="false"/>
          <w:i w:val="false"/>
          <w:iCs/>
          <w:lang w:eastAsia="ar-SA"/>
        </w:rPr>
        <w:t>Psychopathology</w:t>
      </w:r>
    </w:p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hanging="357" w:start="845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4739"/>
        <w:gridCol w:w="5008"/>
      </w:tblGrid>
      <w:tr>
        <w:trPr>
          <w:trHeight w:val="282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Kierunek studiów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Psychologia</w:t>
            </w:r>
          </w:p>
        </w:tc>
      </w:tr>
      <w:tr>
        <w:trPr>
          <w:trHeight w:val="285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studiów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1"/>
                <w:szCs w:val="21"/>
              </w:rPr>
              <w:t>Poziom studiów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Jednolite magisterskie</w:t>
            </w:r>
          </w:p>
        </w:tc>
      </w:tr>
      <w:tr>
        <w:trPr>
          <w:trHeight w:val="285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Profil studiów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dr Agnieszka Mazur</w:t>
            </w:r>
          </w:p>
        </w:tc>
      </w:tr>
      <w:tr>
        <w:trPr>
          <w:trHeight w:val="285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Kontakt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agnieszka.mazur@ujk.edu.pl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7"/>
        <w:gridCol w:w="6280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57" w:start="48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start="208" w:end="183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Pozytywna ocena z Biomedycznych podstaw zachowania, Psychologii rozwojowej dzieci i młodzieży, Psychologii rozwojowej człowieka dorosłego, Psychologii społecznej, Psychologii osobowości, Psychologii różnic indywidualnych oraz Psychologii emocji i motywacji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4"/>
        <w:gridCol w:w="6282"/>
      </w:tblGrid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zajęć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31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2"/>
                <w:szCs w:val="22"/>
              </w:rPr>
              <w:t>Wykład, ćwiczenia</w:t>
            </w:r>
          </w:p>
        </w:tc>
      </w:tr>
      <w:tr>
        <w:trPr>
          <w:trHeight w:val="282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Miejsce realizacji zajęć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Pomieszczenia dydaktyczne UJK</w:t>
            </w:r>
          </w:p>
        </w:tc>
      </w:tr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zaliczenia zajęć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Egzamin pisemny</w:t>
            </w: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2"/>
                <w:szCs w:val="22"/>
              </w:rPr>
              <w:t xml:space="preserve"> (w); zaliczenie z oceną (ćw.)</w:t>
            </w:r>
          </w:p>
        </w:tc>
      </w:tr>
      <w:tr>
        <w:trPr>
          <w:trHeight w:val="282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Metody dydaktyczne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napToGrid w:val="false"/>
              <w:spacing w:before="0" w:after="0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>Wykład: Wykład. Prezentacja multimedialna. D</w:t>
            </w: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  <w:sz w:val="22"/>
                <w:szCs w:val="22"/>
              </w:rPr>
              <w:t>yskusja dydaktyczna</w:t>
            </w:r>
          </w:p>
          <w:p>
            <w:pPr>
              <w:pStyle w:val="BodyText"/>
              <w:widowControl w:val="false"/>
              <w:suppressAutoHyphens w:val="true"/>
              <w:snapToGrid w:val="false"/>
              <w:spacing w:before="0" w:after="0"/>
              <w:jc w:val="start"/>
              <w:rPr>
                <w:b w:val="false"/>
                <w:bCs w:val="false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>Ćwiczenia: A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2"/>
                <w:szCs w:val="22"/>
              </w:rPr>
              <w:t>naliza przypadku. Praca w grupach. D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>yskusja grupowa</w:t>
            </w:r>
          </w:p>
        </w:tc>
      </w:tr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3.5.a. Wykaz literatury podstawowej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napToGrid w:val="false"/>
              <w:spacing w:before="0" w:after="0"/>
              <w:ind w:hanging="312" w:start="363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iCs/>
                <w:kern w:val="2"/>
                <w:sz w:val="22"/>
                <w:szCs w:val="22"/>
              </w:rPr>
              <w:t xml:space="preserve">1. Augustynek, A. (2015). </w:t>
            </w:r>
            <w:r>
              <w:rPr>
                <w:rFonts w:eastAsia="Lucida Sans Unicode" w:cs="Calibri" w:ascii="Calibri" w:hAnsi="Calibri" w:asciiTheme="minorHAnsi" w:cstheme="minorHAnsi" w:hAnsiTheme="minorHAnsi"/>
                <w:i/>
                <w:iCs/>
                <w:kern w:val="2"/>
                <w:sz w:val="22"/>
                <w:szCs w:val="22"/>
              </w:rPr>
              <w:t>Psychopatologia człowieka dorosłego</w:t>
            </w:r>
            <w:r>
              <w:rPr>
                <w:rFonts w:eastAsia="Lucida Sans Unicode" w:cs="Calibri" w:ascii="Calibri" w:hAnsi="Calibri" w:asciiTheme="minorHAnsi" w:cstheme="minorHAnsi" w:hAnsiTheme="minorHAnsi"/>
                <w:iCs/>
                <w:kern w:val="2"/>
                <w:sz w:val="22"/>
                <w:szCs w:val="22"/>
              </w:rPr>
              <w:t>. Difin.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before="0" w:after="0"/>
              <w:ind w:hanging="312" w:start="363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en-US"/>
              </w:rPr>
              <w:t xml:space="preserve">2. Oyebode, F. (2018).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val="en-US"/>
              </w:rPr>
              <w:t xml:space="preserve">Sims’ Symptoms in the Mind: An Introduction to Descriptive Psychopathology </w:t>
            </w:r>
            <w:r>
              <w:rPr>
                <w:rFonts w:cs="Calibri" w:ascii="Calibri" w:hAnsi="Calibri" w:asciiTheme="minorHAnsi" w:cstheme="minorHAnsi" w:hAnsiTheme="minorHAnsi"/>
                <w:i w:val="false"/>
                <w:iCs w:val="false"/>
                <w:kern w:val="0"/>
                <w:sz w:val="22"/>
                <w:szCs w:val="22"/>
                <w:lang w:val="en-US"/>
              </w:rPr>
              <w:t>(4th ed.)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val="en-US"/>
              </w:rPr>
              <w:t>.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en-US"/>
              </w:rPr>
              <w:t xml:space="preserve"> Elsevier.</w:t>
            </w:r>
            <w:r>
              <w:rPr>
                <w:rFonts w:eastAsia="Arial Unicode MS" w:cs="Calibri" w:ascii="Calibri" w:hAnsi="Calibri" w:asciiTheme="minorHAnsi" w:cstheme="minorHAnsi" w:hAnsiTheme="minorHAnsi"/>
                <w:kern w:val="0"/>
                <w:sz w:val="22"/>
                <w:szCs w:val="22"/>
                <w:lang w:val="en-US" w:eastAsia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before="0" w:after="0"/>
              <w:ind w:hanging="312" w:start="363"/>
              <w:jc w:val="both"/>
              <w:rPr>
                <w:kern w:val="0"/>
                <w:sz w:val="22"/>
                <w:szCs w:val="22"/>
              </w:rPr>
            </w:pPr>
            <w:r>
              <w:rPr>
                <w:rStyle w:val="Hyperlink"/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  <w:u w:val="none"/>
              </w:rPr>
              <w:t>3. Pużyński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, S., </w:t>
            </w:r>
            <w:hyperlink r:id="rId2">
              <w:r>
                <w:rPr>
                  <w:rStyle w:val="Hyperlink"/>
                  <w:rFonts w:cs="Calibri" w:ascii="Calibri" w:hAnsi="Calibri" w:asciiTheme="minorHAnsi" w:cstheme="minorHAnsi" w:hAnsiTheme="minorHAnsi"/>
                  <w:color w:val="auto"/>
                  <w:kern w:val="0"/>
                  <w:sz w:val="22"/>
                  <w:szCs w:val="22"/>
                  <w:u w:val="none"/>
                </w:rPr>
                <w:t>Rybakowski</w:t>
              </w:r>
            </w:hyperlink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, J., </w:t>
            </w:r>
            <w:hyperlink r:id="rId3">
              <w:r>
                <w:rPr>
                  <w:rStyle w:val="Hyperlink"/>
                  <w:rFonts w:cs="Calibri" w:ascii="Calibri" w:hAnsi="Calibri" w:asciiTheme="minorHAnsi" w:cstheme="minorHAnsi" w:hAnsiTheme="minorHAnsi"/>
                  <w:color w:val="auto"/>
                  <w:kern w:val="0"/>
                  <w:sz w:val="22"/>
                  <w:szCs w:val="22"/>
                  <w:u w:val="none"/>
                </w:rPr>
                <w:t>Wciórka</w:t>
              </w:r>
            </w:hyperlink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, J. (red.). (2017).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 xml:space="preserve">Psychiatria </w:t>
            </w:r>
            <w:r>
              <w:rPr>
                <w:rFonts w:cs="Calibri" w:ascii="Calibri" w:hAnsi="Calibri" w:asciiTheme="minorHAnsi" w:cstheme="minorHAnsi" w:hAnsiTheme="minorHAnsi"/>
                <w:i w:val="false"/>
                <w:iCs w:val="false"/>
                <w:kern w:val="0"/>
                <w:sz w:val="22"/>
                <w:szCs w:val="22"/>
              </w:rPr>
              <w:t>(Tomy 1-3)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>.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 </w:t>
            </w:r>
            <w:hyperlink r:id="rId4" w:tooltip="Edra Urban &amp; Partner">
              <w:r>
                <w:rPr>
                  <w:rStyle w:val="Hyperlink"/>
                  <w:rFonts w:cs="Calibri" w:ascii="Calibri" w:hAnsi="Calibri" w:asciiTheme="minorHAnsi" w:cstheme="minorHAnsi" w:hAnsiTheme="minorHAnsi"/>
                  <w:color w:val="auto"/>
                  <w:kern w:val="0"/>
                  <w:sz w:val="22"/>
                  <w:szCs w:val="22"/>
                  <w:u w:val="none"/>
                </w:rPr>
                <w:t>EU&amp;P</w:t>
              </w:r>
            </w:hyperlink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.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before="0" w:after="0"/>
              <w:ind w:hanging="312" w:start="363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kern w:val="0"/>
                <w:sz w:val="22"/>
                <w:szCs w:val="22"/>
                <w:lang w:val="en-US" w:eastAsia="ar-SA"/>
              </w:rPr>
              <w:t xml:space="preserve">4. Seligman, M., Walker, E., Rosenhan, D. (2024). </w:t>
            </w:r>
            <w:r>
              <w:rPr>
                <w:rFonts w:eastAsia="Arial Unicode MS"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eastAsia="ar-SA"/>
              </w:rPr>
              <w:t>Psychopatologia</w:t>
            </w:r>
            <w:r>
              <w:rPr>
                <w:rFonts w:eastAsia="Arial Unicode MS" w:cs="Calibri" w:ascii="Calibri" w:hAnsi="Calibri" w:asciiTheme="minorHAnsi" w:cstheme="minorHAnsi" w:hAnsiTheme="minorHAnsi"/>
                <w:kern w:val="0"/>
                <w:sz w:val="22"/>
                <w:szCs w:val="22"/>
                <w:lang w:eastAsia="ar-SA"/>
              </w:rPr>
              <w:t>. Zysk i S-ka.</w:t>
            </w:r>
          </w:p>
        </w:tc>
      </w:tr>
      <w:tr>
        <w:trPr>
          <w:trHeight w:val="586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3.5.b. Wykaz literatury uzupełniającej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napToGrid w:val="false"/>
              <w:spacing w:before="0" w:after="0"/>
              <w:ind w:hanging="312" w:start="363"/>
              <w:jc w:val="both"/>
              <w:rPr>
                <w:kern w:val="0"/>
                <w:sz w:val="22"/>
                <w:szCs w:val="22"/>
              </w:rPr>
            </w:pPr>
            <w:r>
              <w:rPr>
                <w:rStyle w:val="Hyperlink"/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  <w:u w:val="none"/>
              </w:rPr>
              <w:t xml:space="preserve">1. Cierpiałkowska, L.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(2026).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>Psychopatologia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 (wyd. 3). WNS.</w:t>
            </w:r>
          </w:p>
          <w:p>
            <w:pPr>
              <w:pStyle w:val="Heading1"/>
              <w:widowControl w:val="false"/>
              <w:tabs>
                <w:tab w:val="clear" w:pos="720"/>
              </w:tabs>
              <w:suppressAutoHyphens w:val="true"/>
              <w:spacing w:before="0" w:after="0"/>
              <w:ind w:hanging="312" w:start="363"/>
              <w:jc w:val="both"/>
              <w:rPr>
                <w:kern w:val="0"/>
              </w:rPr>
            </w:pPr>
            <w:r>
              <w:rPr>
                <w:rStyle w:val="Hyperlink"/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  <w:u w:val="none"/>
              </w:rPr>
              <w:t>2. Gałecki</w:t>
            </w: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</w:rPr>
              <w:t xml:space="preserve">, P., </w:t>
            </w:r>
            <w:hyperlink r:id="rId5" w:tooltip="książki andrzej szulc">
              <w:r>
                <w:rPr>
                  <w:rStyle w:val="Hyperlink"/>
                  <w:rFonts w:cs="Calibri" w:ascii="Calibri" w:hAnsi="Calibri" w:asciiTheme="minorHAnsi" w:cstheme="minorHAnsi" w:hAnsiTheme="minorHAnsi"/>
                  <w:color w:val="auto"/>
                  <w:kern w:val="0"/>
                  <w:sz w:val="22"/>
                  <w:szCs w:val="22"/>
                  <w:u w:val="none"/>
                </w:rPr>
                <w:t>Szulc</w:t>
              </w:r>
            </w:hyperlink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</w:rPr>
              <w:t xml:space="preserve">, A. (2023).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auto"/>
                <w:kern w:val="0"/>
                <w:sz w:val="22"/>
                <w:szCs w:val="22"/>
              </w:rPr>
              <w:t>Psychiatria</w:t>
            </w: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</w:rPr>
              <w:t xml:space="preserve"> (Tomy 1-2). EU&amp;P.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before="0" w:after="0"/>
              <w:ind w:hanging="312" w:start="363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kern w:val="0"/>
                <w:sz w:val="22"/>
                <w:szCs w:val="22"/>
                <w:lang w:eastAsia="ar-SA"/>
              </w:rPr>
              <w:t xml:space="preserve">3. Jarema, M., Rabe-Jabłońska, J. (red.). (2014). </w:t>
            </w:r>
            <w:r>
              <w:rPr>
                <w:rFonts w:eastAsia="Arial Unicode MS"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eastAsia="ar-SA"/>
              </w:rPr>
              <w:t>Psychiatria</w:t>
            </w:r>
            <w:r>
              <w:rPr>
                <w:rFonts w:eastAsia="Arial Unicode MS" w:cs="Calibri" w:ascii="Calibri" w:hAnsi="Calibri" w:asciiTheme="minorHAnsi" w:cstheme="minorHAnsi" w:hAnsiTheme="minorHAnsi"/>
                <w:kern w:val="0"/>
                <w:sz w:val="22"/>
                <w:szCs w:val="22"/>
                <w:lang w:eastAsia="ar-SA"/>
              </w:rPr>
              <w:t>. PZWL.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Cele, treści i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Cele przedmiotu (zajęć) (z uwzględnieniem formy zajęć)</w:t>
      </w:r>
    </w:p>
    <w:p>
      <w:pPr>
        <w:pStyle w:val="TableParagraph"/>
        <w:snapToGrid w:val="false"/>
        <w:spacing w:lineRule="auto" w:line="276"/>
        <w:ind w:start="709"/>
        <w:rPr>
          <w:rFonts w:ascii="Calibri" w:hAnsi="Calibri" w:cs="Calibri" w:asciiTheme="minorHAnsi" w:cstheme="minorHAnsi" w:hAnsiTheme="minorHAnsi"/>
          <w:b/>
          <w:iCs/>
          <w:color w:themeColor="text1" w:val="000000"/>
        </w:rPr>
      </w:pPr>
      <w:r>
        <w:rPr>
          <w:rFonts w:cs="Calibri" w:cstheme="minorHAnsi" w:ascii="Calibri" w:hAnsi="Calibri"/>
          <w:b/>
          <w:iCs/>
          <w:color w:themeColor="text1" w:val="000000"/>
        </w:rPr>
      </w:r>
    </w:p>
    <w:p>
      <w:pPr>
        <w:pStyle w:val="TableParagraph"/>
        <w:snapToGrid w:val="false"/>
        <w:spacing w:lineRule="auto" w:line="276"/>
        <w:ind w:start="709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WYKŁAD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C1.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>Zapoznanie się z podstawowymi pojęciami z psychopatologii ogólnej i szczegółowej.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C2.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 xml:space="preserve">Nabycie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umiejętności obserwowania i interpretowania zjawisk klinicznych i społecznych występujących w przebiegu zaburzeń psychicznych oraz dokonywania ich analizy psychopatologicznej.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C3.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 xml:space="preserve">Kształtowanie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postawy otwartości wobec osób z zaburzeniami psychicznymi i ich rodzin.</w:t>
      </w:r>
    </w:p>
    <w:p>
      <w:pPr>
        <w:pStyle w:val="TableParagraph"/>
        <w:ind w:start="709"/>
        <w:rPr>
          <w:rFonts w:ascii="Calibri" w:hAnsi="Calibri" w:cs="Calibri" w:asciiTheme="minorHAnsi" w:cstheme="minorHAnsi" w:hAnsiTheme="minorHAnsi"/>
          <w:b/>
          <w:iCs/>
          <w:color w:themeColor="text1" w:val="000000"/>
        </w:rPr>
      </w:pPr>
      <w:r>
        <w:rPr>
          <w:rFonts w:cs="Calibri" w:cstheme="minorHAnsi" w:ascii="Calibri" w:hAnsi="Calibri"/>
          <w:b/>
          <w:iCs/>
          <w:color w:themeColor="text1" w:val="000000"/>
        </w:rPr>
      </w:r>
    </w:p>
    <w:p>
      <w:pPr>
        <w:pStyle w:val="TableParagraph"/>
        <w:ind w:start="709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ĆWICZENIA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>C1.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 xml:space="preserve"> Poznanie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poszczególnych postaci zaburzeń funkcjonowania psychicznego (etiologii, objawów osiowych i terapii) oraz możliwej współchorobowości.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C2.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 xml:space="preserve">Nabycie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umiejętności rozpoznawania i różnicowania określonych objawów i zespołów psychopatologicznych.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C3.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 xml:space="preserve">Uwrażliwienie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na indywidualne różnice w przebiegu zaburzeń psychicznych oraz  możliwe trudności </w:t>
        <w:br/>
        <w:t>w relacji z osobą z zaburzeniami.</w:t>
      </w:r>
    </w:p>
    <w:p>
      <w:pPr>
        <w:pStyle w:val="TableParagraph"/>
        <w:spacing w:lineRule="auto" w:line="276"/>
        <w:ind w:start="709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cstheme="minorHAnsi" w:ascii="Calibri" w:hAnsi="Calibri"/>
          <w:b/>
          <w:iCs/>
          <w:color w:themeColor="text1" w:val="000000"/>
          <w:sz w:val="24"/>
          <w:szCs w:val="24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Treści programowe (z uwzględnieniem formy zajęć)</w:t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cstheme="minorHAnsi"/>
          <w:b/>
          <w:bCs/>
          <w:color w:themeColor="text1" w:val="000000"/>
          <w:sz w:val="24"/>
          <w:szCs w:val="24"/>
        </w:rPr>
        <w:t>Wykłady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themeColor="text1" w:val="000000"/>
        </w:rPr>
        <w:tab/>
        <w:t>1. Zapoz</w:t>
      </w:r>
      <w:r>
        <w:rPr>
          <w:rFonts w:cs="Calibri" w:ascii="Calibri" w:hAnsi="Calibri" w:asciiTheme="minorHAnsi" w:cstheme="minorHAnsi" w:hAnsiTheme="minorHAnsi"/>
          <w:color w:themeColor="text1" w:val="000000"/>
        </w:rPr>
        <w:t xml:space="preserve">nanie z </w:t>
      </w:r>
      <w:r>
        <w:rPr>
          <w:rFonts w:cs="Calibri" w:ascii="Calibri" w:hAnsi="Calibri" w:asciiTheme="minorHAnsi" w:cstheme="minorHAnsi" w:hAnsiTheme="minorHAnsi"/>
        </w:rPr>
        <w:t xml:space="preserve">kartą przedmiotu i warunkami zaliczenia. </w:t>
      </w:r>
      <w:r>
        <w:rPr>
          <w:rFonts w:ascii="Calibri" w:hAnsi="Calibri"/>
        </w:rPr>
        <w:t xml:space="preserve">Psychopatologia jako dziedzina nauki, </w:t>
        <w:tab/>
        <w:t>psychopatologia ogólna i szczegółowa.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2. Psychopatologia w ujęciu praktycznym, znaczenie pojęć: fenomenologia, symptomatologia, </w:t>
        <w:tab/>
        <w:t>syndromologia, nozologia.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3. Podział zjawisk psychicznych (fenomenów): wewnętrzne, zewnętrzne i interaktywne. Rodzaje metod </w:t>
        <w:tab/>
        <w:t>psychopatologii – standaryzowane i niestandaryzowane.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4. Trzy grupy czynników psychopatogennych. Proces chorobowy i zmiany trwałe.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5. Zaburzenia procesów poznawczych - uwagi i pamięci.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6. Zaburzenia procesów poznawczych – spostrzegania i myślenia.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7. Zaburzenia mowy i języka - kompetencja językowa i kompetencja komunikacyjna.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8. Zaburzenia porozumiewania się – werbalnego i niewerbalnego.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9. Psychopatologia emocji - nastroje, wzruszenia, afekty, afekt patologiczny.</w:t>
      </w:r>
    </w:p>
    <w:p>
      <w:pPr>
        <w:pStyle w:val="Normal"/>
        <w:jc w:val="both"/>
        <w:rPr>
          <w:rFonts w:cs="Calibri" w:cstheme="minorHAnsi"/>
          <w:color w:themeColor="text1" w:val="000000"/>
        </w:rPr>
      </w:pPr>
      <w:r>
        <w:rPr>
          <w:rFonts w:ascii="Calibri" w:hAnsi="Calibri"/>
        </w:rPr>
        <w:tab/>
        <w:t>10. Zaburzenia procesów motywacyjnych – aktywności  ruchowej, impulsywnej i intencjonalnej.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11. Zaburzenia procesów  scalania czynności psychicznych – świadomość, orientacja, inteligencja</w:t>
        <w:br/>
        <w:tab/>
        <w:t>i osobowość.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12. Dwie grupy zaburzeń świadomości – zaburzenia przytomności (ilościowe i jakościowe) oraz zaburzenia </w:t>
        <w:tab/>
        <w:t>poczucia otoczenia i samego siebie – derealizacja i depersonalizacja.</w:t>
      </w:r>
    </w:p>
    <w:p>
      <w:pPr>
        <w:pStyle w:val="Normal"/>
        <w:jc w:val="both"/>
        <w:rPr>
          <w:rFonts w:cs="Calibri" w:cstheme="minorHAnsi"/>
          <w:color w:themeColor="text1" w:val="000000"/>
        </w:rPr>
      </w:pPr>
      <w:r>
        <w:rPr>
          <w:rFonts w:ascii="Calibri" w:hAnsi="Calibri"/>
        </w:rPr>
        <w:tab/>
        <w:t>13. Zaburzenia poczucia choroby – trzy wymiary wglądu – krytycyzm, poczucie choroby i gotowość leczenia.</w:t>
      </w:r>
    </w:p>
    <w:p>
      <w:pPr>
        <w:pStyle w:val="Normal"/>
        <w:jc w:val="both"/>
        <w:rPr>
          <w:rFonts w:cs="Calibri" w:cstheme="minorHAnsi"/>
        </w:rPr>
      </w:pPr>
      <w:r>
        <w:rPr>
          <w:rFonts w:ascii="Calibri" w:hAnsi="Calibri"/>
        </w:rPr>
        <w:tab/>
        <w:t xml:space="preserve">14. Warunki prawidłowej orientacji - orientacja autopsychiczna i allopsychiczna. </w:t>
      </w:r>
    </w:p>
    <w:p>
      <w:pPr>
        <w:pStyle w:val="Normal"/>
        <w:jc w:val="both"/>
        <w:rPr>
          <w:rFonts w:cs="Calibri" w:cstheme="minorHAnsi"/>
          <w:color w:themeColor="text1" w:val="000000"/>
        </w:rPr>
      </w:pPr>
      <w:r>
        <w:rPr>
          <w:rFonts w:ascii="Calibri" w:hAnsi="Calibri"/>
        </w:rPr>
        <w:tab/>
        <w:t>15. Zaburzenia sprawności intelektualnej i zaburzenia osobowości.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(w tym zajęcia prowadzone z wykorzystaniem metod i technik kształcenia na odległość)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>1.</w:t>
      </w:r>
      <w:r>
        <w:rPr>
          <w:rFonts w:eastAsia="Arial" w:ascii="Calibri" w:hAnsi="Calibri"/>
        </w:rPr>
        <w:t xml:space="preserve"> nie dotyczy</w:t>
      </w:r>
      <w:r>
        <w:rPr>
          <w:rFonts w:ascii="Calibri" w:hAnsi="Calibri"/>
        </w:rPr>
        <w:t xml:space="preserve">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cstheme="minorHAnsi"/>
          <w:b/>
          <w:bCs/>
          <w:color w:themeColor="text1" w:val="000000"/>
          <w:sz w:val="24"/>
          <w:szCs w:val="24"/>
        </w:rPr>
        <w:t>Ćwiczenia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themeColor="text1" w:val="000000"/>
          <w:sz w:val="22"/>
          <w:szCs w:val="22"/>
        </w:rPr>
        <w:t xml:space="preserve">1. Zapoznanie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z kartą przedmiotu i warunkami zaliczenia. Kryteria wyodrębniania zespołów zaburzeń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psychicznych – psychotyczność, patogeneza i symptomatologia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2. </w:t>
      </w:r>
      <w:r>
        <w:rPr>
          <w:rFonts w:ascii="Calibri" w:hAnsi="Calibri"/>
          <w:sz w:val="22"/>
          <w:szCs w:val="22"/>
        </w:rPr>
        <w:t>Zespoły psychotyczne i niepsychotyczne.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Zespoły definiowane patogenetycznie – endogenne, somatogenne i psychogenne.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Zespoły definiowane objawowo.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Klasyfikacja zaburzeń psychicznych. Epidemiologia psychiatryczna.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Psychopatologia psychoz schizofrenicznych.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 Paranoja i reakcje paranoiczne. Halucynozy.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  Choroby afektywne – depresja endogenna, zespół maniakalny.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  Zaburzenia psychiczne na tle organicznym. Zespoły otępienne.</w:t>
      </w:r>
    </w:p>
    <w:p>
      <w:pPr>
        <w:pStyle w:val="TableParagraph"/>
        <w:tabs>
          <w:tab w:val="clear" w:pos="720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 Zaburzenia psychiczne spowodowane przyjmowaniem substancji psychoaktywnych.</w:t>
      </w:r>
    </w:p>
    <w:p>
      <w:pPr>
        <w:pStyle w:val="TableParagraph"/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11. Zaburzenia psychiczne spowodowane chorobą somatyczną.</w:t>
      </w:r>
    </w:p>
    <w:p>
      <w:pPr>
        <w:pStyle w:val="TableParagraph"/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 Zaburzenia reaktywne.</w:t>
      </w:r>
    </w:p>
    <w:p>
      <w:pPr>
        <w:pStyle w:val="TableParagraph"/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13. Analiza psychopatologiczna w ujęciu praktycznym – analiza  przypadków klinicznych.</w:t>
      </w:r>
    </w:p>
    <w:p>
      <w:pPr>
        <w:pStyle w:val="TableParagraph"/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14. Analiza psychopatologiczna w ujęciu praktycznym – analiza  przypadków klinicznych.</w:t>
      </w:r>
    </w:p>
    <w:p>
      <w:pPr>
        <w:pStyle w:val="TableParagraph"/>
        <w:spacing w:lineRule="auto" w:line="240" w:before="0" w:after="23"/>
        <w:ind w:hanging="363" w:start="85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15. Analiza psychopatologiczna w ujęciu praktycznym – analiza  przypadków klinicznych.</w:t>
      </w:r>
    </w:p>
    <w:p>
      <w:pPr>
        <w:pStyle w:val="Normal"/>
        <w:spacing w:lineRule="auto" w:line="240" w:before="0" w:after="23"/>
        <w:ind w:hanging="363" w:start="85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(w tym zajęcia prowadzone z wykorzystaniem metod i technik kształcenia na odległość)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>1.</w:t>
      </w:r>
      <w:r>
        <w:rPr>
          <w:rFonts w:eastAsia="Arial" w:ascii="Calibri" w:hAnsi="Calibri"/>
        </w:rPr>
        <w:t xml:space="preserve"> nie dotyczy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eastAsia="Arial" w:ascii="Calibri" w:hAnsi="Calibri"/>
        </w:rPr>
        <w:tab/>
      </w:r>
      <w:r>
        <w:rPr>
          <w:rFonts w:eastAsia="Arial" w:cs="Calibri" w:ascii="Calibri" w:hAnsi="Calibri" w:cstheme="minorHAnsi"/>
          <w:b/>
          <w:bCs/>
          <w:color w:themeColor="text1" w:val="000000"/>
          <w:sz w:val="24"/>
          <w:szCs w:val="24"/>
        </w:rPr>
        <w:t xml:space="preserve">Inne </w:t>
      </w:r>
    </w:p>
    <w:p>
      <w:pPr>
        <w:pStyle w:val="Normal"/>
        <w:rPr>
          <w:rFonts w:ascii="Calibri" w:hAnsi="Calibri"/>
        </w:rPr>
      </w:pPr>
      <w:r>
        <w:rPr>
          <w:rFonts w:eastAsia="Arial" w:cs="Calibri" w:ascii="Calibri" w:hAnsi="Calibri" w:cstheme="minorHAnsi"/>
          <w:b/>
          <w:bCs/>
          <w:color w:themeColor="text1" w:val="000000"/>
          <w:sz w:val="24"/>
          <w:szCs w:val="24"/>
        </w:rPr>
        <w:tab/>
        <w:br/>
        <w:tab/>
      </w:r>
      <w:r>
        <w:rPr>
          <w:rFonts w:eastAsia="Arial" w:cs="Calibri" w:ascii="Calibri" w:hAnsi="Calibri" w:cstheme="minorHAnsi"/>
          <w:b w:val="false"/>
          <w:bCs w:val="false"/>
          <w:color w:themeColor="text1" w:val="000000"/>
          <w:sz w:val="24"/>
          <w:szCs w:val="24"/>
        </w:rPr>
        <w:t xml:space="preserve">(w tym zajęcia prowadzone z wykorzystaniem metod i technik kształcenia na odległość) </w:t>
      </w:r>
    </w:p>
    <w:p>
      <w:pPr>
        <w:pStyle w:val="Normal"/>
        <w:rPr>
          <w:rFonts w:ascii="Calibri" w:hAnsi="Calibri" w:eastAsia="Arial" w:cs="Calibri" w:cstheme="minorHAnsi"/>
          <w:b w:val="false"/>
          <w:bCs w:val="false"/>
          <w:color w:themeColor="text1" w:val="000000"/>
          <w:sz w:val="24"/>
          <w:szCs w:val="24"/>
        </w:rPr>
      </w:pPr>
      <w:r>
        <w:rPr>
          <w:rFonts w:eastAsia="Arial" w:cs="Calibri" w:ascii="Calibri" w:hAnsi="Calibri" w:cstheme="minorHAnsi"/>
          <w:b w:val="false"/>
          <w:bCs w:val="false"/>
          <w:color w:themeColor="text1" w:val="000000"/>
          <w:sz w:val="24"/>
          <w:szCs w:val="24"/>
        </w:rPr>
        <w:tab/>
        <w:t>1. nie dotyczy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6"/>
        <w:gridCol w:w="6829"/>
        <w:gridCol w:w="1773"/>
      </w:tblGrid>
      <w:tr>
        <w:trPr>
          <w:trHeight w:val="980" w:hRule="atLeast"/>
        </w:trPr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6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themeColor="text1" w:val="000000"/>
                <w:kern w:val="0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Odniesienie 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kierunkowych efektów uczenia się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wiedzy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50"/>
        <w:gridCol w:w="6830"/>
        <w:gridCol w:w="1776"/>
      </w:tblGrid>
      <w:tr>
        <w:trPr>
          <w:trHeight w:val="282" w:hRule="atLeast"/>
        </w:trPr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Ma wiedzę w zakresie terminologii dotyczącej procesów psychicznych, zna</w:t>
              <w:br/>
              <w:t>i rozumie związki między procesami poznawczymi i emocjonalnymi</w:t>
              <w:br/>
              <w:t>w funkcjonowaniu psychicznym.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PSYCH_W06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</w:r>
          </w:p>
        </w:tc>
      </w:tr>
      <w:tr>
        <w:trPr>
          <w:trHeight w:val="282" w:hRule="atLeast"/>
        </w:trPr>
        <w:tc>
          <w:tcPr>
            <w:tcW w:w="1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W02</w:t>
            </w:r>
          </w:p>
        </w:tc>
        <w:tc>
          <w:tcPr>
            <w:tcW w:w="68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 xml:space="preserve">Zna budowę i funkcjonowanie organizmu człowieka oraz jego dysfunkcje </w:t>
              <w:br/>
              <w:t>w zakresie właściwym dla psychopatologii.</w:t>
            </w:r>
          </w:p>
        </w:tc>
        <w:tc>
          <w:tcPr>
            <w:tcW w:w="17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PSYCH_W08</w:t>
            </w:r>
          </w:p>
        </w:tc>
      </w:tr>
      <w:tr>
        <w:trPr>
          <w:trHeight w:val="285" w:hRule="atLeast"/>
        </w:trPr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W03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Ma pogłębioną wiedzę dotyczącą procesów psychicznych, rozwoju człowieka w cyklu życia oraz więzi społecznych w odniesieniu do obszaru zaburzeń funkcjonowania psychicznego. Zna sprawdzone empirycznie teorie pozwalające zrozumieć zjawiska psychopatologiczne.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PSYCH_W13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W04</w:t>
            </w:r>
          </w:p>
        </w:tc>
        <w:tc>
          <w:tcPr>
            <w:tcW w:w="68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Zna objawy i przyczyny zaburzeń psychicznych, ich społeczny kontekst, możliwą współchorobowość oraz metody ich psychologicznej oceny i terapii.</w:t>
            </w:r>
          </w:p>
        </w:tc>
        <w:tc>
          <w:tcPr>
            <w:tcW w:w="17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PSYCH_W14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1"/>
        <w:gridCol w:w="6824"/>
        <w:gridCol w:w="1773"/>
      </w:tblGrid>
      <w:tr>
        <w:trPr>
          <w:trHeight w:val="285" w:hRule="atLeast"/>
        </w:trPr>
        <w:tc>
          <w:tcPr>
            <w:tcW w:w="1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U01</w:t>
            </w:r>
          </w:p>
        </w:tc>
        <w:tc>
          <w:tcPr>
            <w:tcW w:w="6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Potrafi analizować, wyjaśniać i tłumaczyć związki między zjawiskami psychicznymi, społecznymi i medycznymi oraz wzajemne relacje między nimi. 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start="57" w:end="5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PSYCH_U01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</w:rPr>
              <w:t>U02</w:t>
            </w:r>
          </w:p>
        </w:tc>
        <w:tc>
          <w:tcPr>
            <w:tcW w:w="68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Potrafi formułować raporty z badań i analiz zjawisk i procesów psychicznych, społecznych i medycznych oraz potrafi zastosować tę wiedzę w aspekcie jednostkowym i społecznym.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start="57" w:end="5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PSYCH_U02</w:t>
            </w:r>
          </w:p>
        </w:tc>
      </w:tr>
      <w:tr>
        <w:trPr>
          <w:trHeight w:val="282" w:hRule="atLeast"/>
        </w:trPr>
        <w:tc>
          <w:tcPr>
            <w:tcW w:w="1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U03</w:t>
            </w:r>
          </w:p>
        </w:tc>
        <w:tc>
          <w:tcPr>
            <w:tcW w:w="6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Potrafi budować teoretyczne modele złożonych zjawisk natury psychopatologicznej oraz przewidywać przebieg procesów psychicznych, społecznych i medycznych.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start="57" w:end="5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PSYCH_U04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  <w:tr>
        <w:trPr>
          <w:trHeight w:val="282" w:hRule="atLeast"/>
        </w:trPr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</w:rPr>
              <w:t>U04</w:t>
            </w:r>
          </w:p>
        </w:tc>
        <w:tc>
          <w:tcPr>
            <w:tcW w:w="68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Potrafi rozpoznać potrzeby pacjenta i jego rodziny, dostrzec jego problemy oraz wygenerować pomysły ich rozwiązania.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start="57" w:end="5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PSYCH_U11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50"/>
        <w:gridCol w:w="6830"/>
        <w:gridCol w:w="1776"/>
      </w:tblGrid>
      <w:tr>
        <w:trPr>
          <w:trHeight w:val="282" w:hRule="atLeast"/>
        </w:trPr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Potrafi krytycznie odnosić się i ustalać priorytety oraz identyfikować</w:t>
              <w:br/>
              <w:t xml:space="preserve">i rozstrzygać dylematy związane z wykonywaniem zawodu psychologa </w:t>
              <w:br/>
              <w:t>w obszarze psychopatologii.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PSYCH_K04</w:t>
            </w:r>
          </w:p>
        </w:tc>
      </w:tr>
      <w:tr>
        <w:trPr>
          <w:trHeight w:val="352" w:hRule="atLeast"/>
        </w:trPr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K02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Dba o przestrzeganie zasad etyki w pracy z pacjentami z zaburzeniami funkcjonowania psychicznego i ich rodzinami.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PSYCH_K06</w:t>
            </w:r>
          </w:p>
        </w:tc>
      </w:tr>
    </w:tbl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 w:end="-20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Sposoby weryfikacji osiągnięcia efektów uczenia się realizowanych w ramach przedmiotu 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43"/>
        <w:gridCol w:w="1230"/>
        <w:gridCol w:w="1228"/>
        <w:gridCol w:w="1228"/>
        <w:gridCol w:w="1225"/>
        <w:gridCol w:w="1228"/>
        <w:gridCol w:w="1228"/>
        <w:gridCol w:w="1231"/>
      </w:tblGrid>
      <w:tr>
        <w:trPr>
          <w:trHeight w:val="1032" w:hRule="atLeast"/>
        </w:trPr>
        <w:tc>
          <w:tcPr>
            <w:tcW w:w="1243" w:type="dxa"/>
            <w:tcBorders/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0" w:end="-11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Egzamin </w:t>
              <w:br/>
              <w:t>pisemny</w:t>
              <w:br/>
              <w:br/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Projekt*</w:t>
            </w:r>
          </w:p>
        </w:tc>
        <w:tc>
          <w:tcPr>
            <w:tcW w:w="122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 grupie*</w:t>
            </w:r>
          </w:p>
        </w:tc>
        <w:tc>
          <w:tcPr>
            <w:tcW w:w="1231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1"/>
                <w:szCs w:val="21"/>
              </w:rPr>
              <w:t xml:space="preserve">Inne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0"/>
                <w:szCs w:val="20"/>
              </w:rPr>
              <w:t>(prezentacja w grupach)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1"/>
                <w:szCs w:val="21"/>
              </w:rPr>
              <w:t>*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34"/>
        <w:gridCol w:w="408"/>
        <w:gridCol w:w="412"/>
        <w:gridCol w:w="406"/>
        <w:gridCol w:w="409"/>
        <w:gridCol w:w="412"/>
        <w:gridCol w:w="406"/>
        <w:gridCol w:w="409"/>
        <w:gridCol w:w="412"/>
        <w:gridCol w:w="406"/>
        <w:gridCol w:w="409"/>
        <w:gridCol w:w="411"/>
        <w:gridCol w:w="406"/>
        <w:gridCol w:w="409"/>
        <w:gridCol w:w="412"/>
        <w:gridCol w:w="407"/>
        <w:gridCol w:w="408"/>
        <w:gridCol w:w="412"/>
        <w:gridCol w:w="408"/>
        <w:gridCol w:w="407"/>
        <w:gridCol w:w="412"/>
        <w:gridCol w:w="409"/>
      </w:tblGrid>
      <w:tr>
        <w:trPr/>
        <w:tc>
          <w:tcPr>
            <w:tcW w:w="123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end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1: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2: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1"/>
                <w:szCs w:val="21"/>
              </w:rPr>
              <w:t>W03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1"/>
                <w:szCs w:val="21"/>
              </w:rPr>
              <w:t>W04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1"/>
                <w:szCs w:val="21"/>
              </w:rPr>
              <w:t>U03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1"/>
                <w:szCs w:val="21"/>
              </w:rPr>
              <w:t>U04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</w:tbl>
    <w:p>
      <w:pPr>
        <w:pStyle w:val="BodyText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themeColor="text1" w:val="000000"/>
        </w:rPr>
      </w:pPr>
      <w:r>
        <w:rPr>
          <w:rFonts w:cs="Calibri" w:cstheme="minorHAnsi" w:ascii="Calibri" w:hAnsi="Calibri"/>
          <w:b w:val="false"/>
          <w:bCs w:val="false"/>
          <w:iCs/>
          <w:color w:themeColor="text1" w:val="000000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Kryteria oceny stopnia osiągnięcia efektów uczenia się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WYKŁAD (W)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61"/>
        <w:gridCol w:w="8878"/>
      </w:tblGrid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50-60%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61-70%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71-80%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81-90%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91-100% możliwych punktów</w:t>
            </w:r>
          </w:p>
        </w:tc>
      </w:tr>
    </w:tbl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50"/>
        <w:gridCol w:w="8873"/>
      </w:tblGrid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zadowalającym/podstawowym i uzyskał na kolokwium zaliczeniowym 50-60% odpowiedzi pozytywnych 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zadowalającym i uzyskał na kolokwium zaliczeniowym 61-70% odpowiedzi pozytywnych 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dobrym i uzyskał na kolokwium zaliczeniowym 71-80% odpowiedzi pozytywnych 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ponad dobrym i uzyskał na kolokwium zaliczeniowym 81-90% odpowiedzi pozytywnych 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bardzo dobrym i uzyskał na kolokwium zaliczeniowym 91-100% odpowiedzi pozytywnych </w:t>
            </w:r>
          </w:p>
        </w:tc>
      </w:tr>
    </w:tbl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sz w:val="24"/>
          <w:szCs w:val="24"/>
        </w:rPr>
        <w:t xml:space="preserve">INNE (prezentacja w grupach) </w:t>
      </w:r>
      <w:r>
        <w:rPr>
          <w:rFonts w:cs="Calibri" w:ascii="Calibri" w:hAnsi="Calibri" w:asciiTheme="minorHAnsi" w:cstheme="minorHAnsi" w:hAnsiTheme="minorHAnsi"/>
          <w:bCs/>
          <w:iCs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55"/>
        <w:gridCol w:w="8872"/>
      </w:tblGrid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Ocena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podstawowym prezentację z zakresu psychopatologii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3,5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zadowalającym prezentację z zakresu psychopatologii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dobrym prezentację z zakresu psychopatologii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4,5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ponad dobrym prezentację z zakresu psychopatologii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bardzo dobrym prezentację z zakresu psychopatologii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pacing w:lineRule="auto" w:line="276" w:before="240" w:after="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5496"/>
        <w:gridCol w:w="2175"/>
        <w:gridCol w:w="2173"/>
      </w:tblGrid>
      <w:tr>
        <w:trPr>
          <w:trHeight w:val="460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Kategoria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wykładach*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20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ćwiczeniach*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90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wykładu*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ćwiczeń*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30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egzaminu/kolokwium*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40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Opracowanie prezentacji multimedialnej w grupach*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 xml:space="preserve">5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 xml:space="preserve">5 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ŁĄCZNA LICZBA GODZIN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PUNKTY ECTS za przedmiot (zajęcia)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5</w:t>
            </w:r>
          </w:p>
        </w:tc>
      </w:tr>
    </w:tbl>
    <w:p>
      <w:pPr>
        <w:pStyle w:val="Normal"/>
        <w:spacing w:lineRule="auto" w:line="276" w:before="360" w:after="120"/>
        <w:ind w:start="255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0"/>
          <w:szCs w:val="20"/>
        </w:rPr>
        <w:t>*niepotrzebne usunąć</w:t>
      </w:r>
    </w:p>
    <w:p>
      <w:pPr>
        <w:pStyle w:val="Normal"/>
        <w:spacing w:lineRule="auto" w:line="276" w:before="480" w:after="36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0"/>
          <w:szCs w:val="20"/>
        </w:rPr>
        <w:t>(data i czytelne podpisy osób prowadzących przedmiot (zajęcia) 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1"/>
          <w:szCs w:val="21"/>
        </w:rPr>
        <w:t>…………………………………………………………………………………………</w:t>
      </w:r>
      <w:bookmarkStart w:id="1" w:name="_GoBack"/>
      <w:bookmarkEnd w:id="1"/>
      <w:r>
        <w:rPr>
          <w:rFonts w:cs="Calibri" w:ascii="Calibri" w:hAnsi="Calibri" w:asciiTheme="minorHAnsi" w:cstheme="minorHAnsi" w:hAnsiTheme="minorHAnsi"/>
          <w:iCs/>
          <w:color w:themeColor="text1" w:val="000000"/>
          <w:sz w:val="21"/>
          <w:szCs w:val="21"/>
        </w:rPr>
        <w:t>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3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5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7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9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1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3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5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7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90" w:hanging="180"/>
      </w:pPr>
      <w:rPr/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430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609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824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03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182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397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5760" w:hanging="1440"/>
      </w:pPr>
      <w:rPr/>
    </w:lvl>
  </w:abstractNum>
  <w:abstractNum w:abstractNumId="3">
    <w:lvl w:ilvl="0">
      <w:start w:val="1"/>
      <w:numFmt w:val="bullet"/>
      <w:lvlText w:val="•"/>
      <w:lvlJc w:val="start"/>
      <w:pPr>
        <w:tabs>
          <w:tab w:val="num" w:pos="0"/>
        </w:tabs>
        <w:ind w:star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75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2.%1."/>
      <w:lvlJc w:val="start"/>
      <w:pPr>
        <w:tabs>
          <w:tab w:val="num" w:pos="0"/>
        </w:tabs>
        <w:ind w:start="8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87" w:hanging="180"/>
      </w:pPr>
      <w:rPr/>
    </w:lvl>
  </w:abstractNum>
  <w:abstractNum w:abstractNumId="5">
    <w:lvl w:ilvl="0">
      <w:start w:val="1"/>
      <w:numFmt w:val="decimal"/>
      <w:lvlText w:val="3.%1."/>
      <w:lvlJc w:val="start"/>
      <w:pPr>
        <w:tabs>
          <w:tab w:val="num" w:pos="0"/>
        </w:tabs>
        <w:ind w:start="93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63f3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9d2d3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4b30d1"/>
    <w:pPr>
      <w:keepNext w:val="true"/>
      <w:keepLines/>
      <w:numPr>
        <w:ilvl w:val="0"/>
        <w:numId w:val="1"/>
      </w:numPr>
      <w:shd w:val="clear" w:color="auto" w:fill="ECF1F8"/>
      <w:spacing w:before="40" w:after="0"/>
      <w:ind w:end="547"/>
      <w:outlineLvl w:val="1"/>
    </w:pPr>
    <w:rPr>
      <w:rFonts w:ascii="Calibri" w:hAnsi="Calibri" w:eastAsia="" w:cs="Calibri" w:asciiTheme="minorHAnsi" w:cstheme="minorHAnsi" w:eastAsiaTheme="majorEastAsia" w:hAnsiTheme="minorHAnsi"/>
      <w:b/>
      <w:bCs/>
      <w:sz w:val="20"/>
      <w:szCs w:val="20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4501e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d2d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sid w:val="004b30d1"/>
    <w:rPr>
      <w:rFonts w:eastAsia="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2d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sid w:val="004501e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qFormat/>
    <w:rsid w:val="004501ed"/>
    <w:rPr>
      <w:rFonts w:ascii="Calibri" w:hAnsi="Calibri" w:eastAsia="" w:cs="" w:cstheme="majorBidi" w:eastAsiaTheme="majorEastAsia"/>
      <w:i/>
      <w:color w:themeColor="accent1" w:themeShade="7f" w:val="243F60"/>
      <w:sz w:val="24"/>
      <w:szCs w:val="24"/>
      <w:lang w:val="pl-PL" w:eastAsia="pl-PL" w:bidi="pl-PL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130023"/>
    <w:rPr>
      <w:rFonts w:ascii="Times New Roman" w:hAnsi="Times New Roman" w:eastAsia="Times New Roman" w:cs="Times New Roman"/>
      <w:lang w:val="pl-PL" w:eastAsia="pl-PL" w:bidi="pl-PL"/>
    </w:rPr>
  </w:style>
  <w:style w:type="character" w:styleId="Hyperlink">
    <w:name w:val="Hyperlink"/>
    <w:rsid w:val="008d4bd3"/>
    <w:rPr>
      <w:color w:val="0066CC"/>
      <w:u w:val="single"/>
    </w:rPr>
  </w:style>
  <w:style w:type="character" w:styleId="Strong">
    <w:name w:val="Strong"/>
    <w:uiPriority w:val="22"/>
    <w:qFormat/>
    <w:rsid w:val="007b1be7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49" w:start="96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mmentText">
    <w:name w:val="annotation text"/>
    <w:basedOn w:val="Normal"/>
    <w:link w:val="TekstkomentarzaZnak"/>
    <w:uiPriority w:val="99"/>
    <w:unhideWhenUsed/>
    <w:rsid w:val="004c2d6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c2d66"/>
    <w:pPr/>
    <w:rPr>
      <w:b/>
      <w:bCs/>
    </w:rPr>
  </w:style>
  <w:style w:type="paragraph" w:styleId="Styl1" w:customStyle="1">
    <w:name w:val="Styl1"/>
    <w:basedOn w:val="Heading3"/>
    <w:link w:val="Styl1Znak"/>
    <w:qFormat/>
    <w:rsid w:val="004501ed"/>
    <w:pPr/>
    <w:rPr>
      <w:rFonts w:ascii="Calibri" w:hAnsi="Calibri"/>
      <w:i/>
      <w:color w:val="auto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130023"/>
    <w:pPr>
      <w:spacing w:before="0" w:after="120"/>
      <w:ind w:start="283"/>
    </w:pPr>
    <w:rPr/>
  </w:style>
  <w:style w:type="paragraph" w:styleId="listParagraph1">
    <w:name w:val="list Paragraph1"/>
    <w:basedOn w:val="TableParagraph"/>
    <w:qFormat/>
    <w:pPr>
      <w:spacing w:lineRule="auto" w:line="276" w:before="120" w:after="0"/>
      <w:ind w:hanging="567" w:start="1134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dbook.com.pl/pl/supplier/2028-janusz-rybakowski" TargetMode="External"/><Relationship Id="rId3" Type="http://schemas.openxmlformats.org/officeDocument/2006/relationships/hyperlink" Target="https://medbook.com.pl/pl/supplier/2610-jacek-wciorka" TargetMode="External"/><Relationship Id="rId4" Type="http://schemas.openxmlformats.org/officeDocument/2006/relationships/hyperlink" Target="https://medbook.com.pl/pl/brand/96-edra-urban-partner" TargetMode="External"/><Relationship Id="rId5" Type="http://schemas.openxmlformats.org/officeDocument/2006/relationships/hyperlink" Target="https://www.medicon.pl/autor/andrzej-szulc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8ECC-D0E9-4EEA-8F18-2A82AE9B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LibreOffice/26.2.4.2$Windows_X86_64 LibreOffice_project/0229ac93fcf0d7cbc6376066c6f35021cef002dc</Application>
  <AppVersion>15.0000</AppVersion>
  <Pages>5</Pages>
  <Words>1333</Words>
  <Characters>9157</Characters>
  <CharactersWithSpaces>10261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2026-05-06T15:37:00Z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2026-06-28T15:09:17Z</dcterms:modified>
  <cp:revision>22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