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6"/>
        <w:jc w:val="end"/>
        <w:rPr/>
      </w:pPr>
      <w:r>
        <w:rPr>
          <w:sz w:val="24"/>
        </w:rPr>
        <w:t xml:space="preserve">Załącznik nr 4 do zarządzenia nr 189/2025 </w:t>
      </w:r>
    </w:p>
    <w:p>
      <w:pPr>
        <w:pStyle w:val="Heading1"/>
        <w:rPr/>
      </w:pPr>
      <w:r>
        <w:rPr/>
        <w:t xml:space="preserve">KARTA PRZEDMIOTU (ZAJĘĆ) </w:t>
      </w:r>
    </w:p>
    <w:p>
      <w:pPr>
        <w:pStyle w:val="Normal"/>
        <w:spacing w:lineRule="auto" w:line="269" w:before="0" w:after="251"/>
        <w:ind w:hanging="10" w:start="435"/>
        <w:rPr/>
      </w:pPr>
      <w:r>
        <w:rPr>
          <w:b/>
          <w:sz w:val="24"/>
        </w:rPr>
        <w:t xml:space="preserve">Kod przedmiotu (zajęć): </w:t>
      </w:r>
      <w:r>
        <w:rPr>
          <w:color w:val="auto"/>
          <w:szCs w:val="22"/>
        </w:rPr>
        <w:t>0313.3.PSY.B22.WKP</w:t>
      </w:r>
      <w:r>
        <w:rPr>
          <w:color w:val="auto"/>
          <w:sz w:val="20"/>
          <w:szCs w:val="20"/>
        </w:rPr>
        <w:t xml:space="preserve">  </w:t>
      </w:r>
    </w:p>
    <w:p>
      <w:pPr>
        <w:pStyle w:val="Normal"/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>
        <w:rPr>
          <w:b/>
          <w:color w:val="auto"/>
          <w:sz w:val="20"/>
          <w:szCs w:val="20"/>
        </w:rPr>
        <w:t>Współczesne kierunki psychologii</w:t>
      </w:r>
    </w:p>
    <w:p>
      <w:pPr>
        <w:pStyle w:val="Normal"/>
        <w:spacing w:lineRule="auto" w:line="269" w:before="0" w:after="251"/>
        <w:ind w:hanging="10" w:start="438"/>
        <w:rPr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Contemporary Trends in Psychology</w:t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5" w:type="dxa"/>
          <w:bottom w:w="0" w:type="dxa"/>
          <w:end w:w="12" w:type="dxa"/>
        </w:tblCellMar>
        <w:tblLook w:val="04a0" w:firstRow="1" w:noVBand="1" w:lastRow="0" w:firstColumn="1" w:lastColumn="0" w:noHBand="0"/>
      </w:tblPr>
      <w:tblGrid>
        <w:gridCol w:w="4740"/>
        <w:gridCol w:w="5009"/>
      </w:tblGrid>
      <w:tr>
        <w:trPr>
          <w:trHeight w:val="346" w:hRule="atLeast"/>
        </w:trPr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Kierunek studiów 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Psychologia</w:t>
            </w:r>
          </w:p>
        </w:tc>
      </w:tr>
      <w:tr>
        <w:trPr>
          <w:trHeight w:val="305" w:hRule="atLeast"/>
        </w:trPr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studiów 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Stacjonarne/niestacjonarne</w:t>
            </w:r>
          </w:p>
        </w:tc>
      </w:tr>
      <w:tr>
        <w:trPr>
          <w:trHeight w:val="305" w:hRule="atLeast"/>
        </w:trPr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Poziom studiów 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Jednolite magisterskie</w:t>
            </w:r>
          </w:p>
        </w:tc>
      </w:tr>
      <w:tr>
        <w:trPr>
          <w:trHeight w:val="305" w:hRule="atLeast"/>
        </w:trPr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Profil studiów 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Ogólnoakademicki</w:t>
            </w:r>
          </w:p>
        </w:tc>
      </w:tr>
      <w:tr>
        <w:trPr>
          <w:trHeight w:val="305" w:hRule="atLeast"/>
        </w:trPr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1.5.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Osoba przygotowująca kartę przedmiotu (zajęć)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-19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     </w:t>
            </w:r>
            <w:r>
              <w:rPr>
                <w:kern w:val="2"/>
                <w:szCs w:val="22"/>
                <w:lang w:val="pl-PL" w:eastAsia="pl-PL" w:bidi="ar-SA"/>
              </w:rPr>
              <w:t>dr Anna Czarnejko-Żolik</w:t>
            </w:r>
          </w:p>
        </w:tc>
      </w:tr>
      <w:tr>
        <w:trPr>
          <w:trHeight w:val="305" w:hRule="atLeast"/>
        </w:trPr>
        <w:tc>
          <w:tcPr>
            <w:tcW w:w="4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1.6.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Kontakt 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anna.czarnejko-zolik@ujk.edu.pl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35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3465"/>
        <w:gridCol w:w="6284"/>
      </w:tblGrid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Język wykładowy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Polski 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Wymagania wstępne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Wprowadzenie do psychologii, Historia myśli psychologicznej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10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3463"/>
        <w:gridCol w:w="6286"/>
      </w:tblGrid>
      <w:tr>
        <w:trPr>
          <w:trHeight w:val="600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zajęć </w:t>
            </w:r>
          </w:p>
        </w:tc>
        <w:tc>
          <w:tcPr>
            <w:tcW w:w="6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color w:val="auto"/>
                <w:kern w:val="2"/>
                <w:szCs w:val="22"/>
                <w:lang w:val="pl-PL" w:eastAsia="pl-PL" w:bidi="ar-SA"/>
              </w:rPr>
              <w:t>Wykład, e-learning</w:t>
            </w:r>
          </w:p>
        </w:tc>
      </w:tr>
      <w:tr>
        <w:trPr>
          <w:trHeight w:val="305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Miejsce realizacji zajęć </w:t>
            </w:r>
          </w:p>
        </w:tc>
        <w:tc>
          <w:tcPr>
            <w:tcW w:w="6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Pomieszczenia dydaktyczne UJK </w:t>
            </w:r>
          </w:p>
        </w:tc>
      </w:tr>
      <w:tr>
        <w:trPr>
          <w:trHeight w:val="305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zaliczenia zajęć </w:t>
            </w:r>
          </w:p>
        </w:tc>
        <w:tc>
          <w:tcPr>
            <w:tcW w:w="6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Egzamin (w), zaliczenie (e-l.)</w:t>
            </w:r>
          </w:p>
        </w:tc>
      </w:tr>
      <w:tr>
        <w:trPr>
          <w:trHeight w:val="305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Metody dydaktyczne </w:t>
            </w:r>
          </w:p>
        </w:tc>
        <w:tc>
          <w:tcPr>
            <w:tcW w:w="6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/>
            </w:pPr>
            <w:r>
              <w:rPr>
                <w:kern w:val="2"/>
                <w:szCs w:val="22"/>
                <w:lang w:val="pl-PL" w:eastAsia="pl-PL" w:bidi="ar-SA"/>
              </w:rPr>
              <w:t>Wykład: Wykład informacyjny. Wykład problemowy.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/>
            </w:pPr>
            <w:r>
              <w:rPr>
                <w:kern w:val="2"/>
                <w:szCs w:val="22"/>
                <w:lang w:val="pl-PL" w:eastAsia="pl-PL" w:bidi="ar-SA"/>
              </w:rPr>
              <w:t>E-learning: Zadania tematyczne. Forum dyskusyjne. Teksty źródłowe. Prezentacja multimedialna.</w:t>
            </w:r>
          </w:p>
        </w:tc>
      </w:tr>
      <w:tr>
        <w:trPr>
          <w:trHeight w:val="305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3.5.a. Wykaz literatury podstawowej </w:t>
            </w:r>
          </w:p>
        </w:tc>
        <w:tc>
          <w:tcPr>
            <w:tcW w:w="6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  <w:lang w:val="pl-PL" w:eastAsia="pl-PL" w:bidi="ar-SA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 xml:space="preserve">Benjamin, L. T., Jr. (2008). </w:t>
            </w:r>
            <w:r>
              <w:rPr>
                <w:rStyle w:val="Emphasis"/>
                <w:rFonts w:cs="Calibri" w:ascii="Calibri" w:hAnsi="Calibri"/>
                <w:b w:val="false"/>
                <w:strike w:val="false"/>
                <w:dstrike w:val="false"/>
                <w:color w:themeColor="text1" w:val="000000"/>
                <w:sz w:val="22"/>
                <w:szCs w:val="22"/>
                <w:u w:val="none"/>
                <w:effect w:val="none"/>
                <w:lang w:val="pl-PL" w:eastAsia="pl-PL" w:bidi="ar-SA"/>
              </w:rPr>
              <w:t>Historia współczesnej psychologii</w:t>
            </w: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 xml:space="preserve">. PWN.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Domański, C. W. (2014). Mity i kontrowersje współczesnej psychologii. </w:t>
            </w:r>
            <w:r>
              <w:rPr>
                <w:rStyle w:val="Emphasis"/>
                <w:rFonts w:ascii="Calibri" w:hAnsi="Calibri"/>
                <w:b w:val="false"/>
                <w:strike w:val="false"/>
                <w:dstrike w:val="false"/>
                <w:sz w:val="22"/>
                <w:szCs w:val="22"/>
                <w:u w:val="none"/>
                <w:effect w:val="none"/>
              </w:rPr>
              <w:t>Nauka Polska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Style w:val="Emphasis"/>
                <w:rFonts w:ascii="Calibri" w:hAnsi="Calibri"/>
                <w:b w:val="false"/>
                <w:strike w:val="false"/>
                <w:dstrike w:val="false"/>
                <w:sz w:val="22"/>
                <w:szCs w:val="22"/>
                <w:u w:val="none"/>
                <w:effect w:val="none"/>
              </w:rPr>
              <w:t>23</w:t>
            </w:r>
            <w:r>
              <w:rPr>
                <w:rFonts w:ascii="Calibri" w:hAnsi="Calibri"/>
                <w:sz w:val="22"/>
                <w:szCs w:val="22"/>
              </w:rPr>
              <w:t>, 113–124</w:t>
            </w:r>
            <w:r>
              <w:rPr/>
              <w:t xml:space="preserve">. </w:t>
            </w: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  <w:lang w:val="pl-PL"/>
              </w:rPr>
            </w:pPr>
            <w:r>
              <w:rPr>
                <w:rFonts w:eastAsia="Times New Roman"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 xml:space="preserve">Łukaszewski, W. (2015). </w:t>
            </w:r>
            <w:r>
              <w:rPr>
                <w:rFonts w:eastAsia="Times New Roman" w:cs="Calibri" w:ascii="Calibri" w:hAnsi="Calibri"/>
                <w:i/>
                <w:iCs/>
                <w:color w:themeColor="text1" w:val="000000"/>
                <w:sz w:val="22"/>
                <w:szCs w:val="22"/>
                <w:lang w:val="pl-PL" w:eastAsia="pl-PL" w:bidi="ar-SA"/>
              </w:rPr>
              <w:t>Wielkie i te nieco mniejsze pytania psychologii.</w:t>
            </w:r>
            <w:r>
              <w:rPr>
                <w:rFonts w:eastAsia="Times New Roman"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 xml:space="preserve"> Smak Słowa.</w:t>
            </w: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  <w:lang w:val="pl-PL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eastAsia="pl-PL" w:bidi="ar-SA"/>
              </w:rPr>
              <w:t xml:space="preserve">Stachowski, R. (2000). </w:t>
            </w:r>
            <w:r>
              <w:rPr>
                <w:rStyle w:val="Emphasis"/>
                <w:rFonts w:cs="Calibri" w:ascii="Calibri" w:hAnsi="Calibri"/>
                <w:b w:val="false"/>
                <w:strike w:val="false"/>
                <w:dstrike w:val="false"/>
                <w:color w:themeColor="text1" w:val="000000"/>
                <w:sz w:val="22"/>
                <w:szCs w:val="22"/>
                <w:u w:val="none"/>
                <w:effect w:val="none"/>
                <w:lang w:eastAsia="pl-PL" w:bidi="ar-SA"/>
              </w:rPr>
              <w:t>Historia współczesnej myśli psychologicznej: Od Wundta do czasów najnowszych.</w:t>
            </w: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eastAsia="pl-PL" w:bidi="ar-SA"/>
              </w:rPr>
              <w:t xml:space="preserve"> Scholar.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/>
            </w:pPr>
            <w:r>
              <w:rPr>
                <w:rFonts w:cs="Calibri"/>
                <w:kern w:val="2"/>
                <w:sz w:val="22"/>
                <w:szCs w:val="22"/>
                <w:lang w:val="en-US"/>
              </w:rPr>
              <w:t xml:space="preserve">Yang, Y. J., Chiu, C. Y. (2009). Mapping the structure and dynamics of psychological knowledge: Forty years of APA journal citations (1970–2009). </w:t>
            </w:r>
            <w:r>
              <w:rPr>
                <w:rStyle w:val="Emphasis"/>
                <w:rFonts w:cs="Calibri"/>
                <w:kern w:val="2"/>
                <w:sz w:val="22"/>
                <w:szCs w:val="22"/>
                <w:lang w:val="pl-PL"/>
              </w:rPr>
              <w:t>Review of General Psychology, 13</w:t>
            </w:r>
            <w:r>
              <w:rPr>
                <w:rFonts w:cs="Calibri"/>
                <w:kern w:val="2"/>
                <w:sz w:val="22"/>
                <w:szCs w:val="22"/>
                <w:lang w:val="pl-PL"/>
              </w:rPr>
              <w:t xml:space="preserve">(4), 349–356. </w:t>
            </w:r>
          </w:p>
        </w:tc>
      </w:tr>
      <w:tr>
        <w:trPr>
          <w:trHeight w:val="305" w:hRule="atLeast"/>
        </w:trPr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3.5.b. Wykaz literatury uzupełniającej </w:t>
            </w:r>
          </w:p>
        </w:tc>
        <w:tc>
          <w:tcPr>
            <w:tcW w:w="6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before="0" w:after="0"/>
              <w:ind w:hanging="360" w:start="308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/>
                <w:color w:themeColor="text1" w:val="000000"/>
                <w:sz w:val="22"/>
                <w:szCs w:val="22"/>
              </w:rPr>
              <w:t xml:space="preserve">Rolls, G. (2011). </w:t>
            </w:r>
            <w:r>
              <w:rPr>
                <w:rFonts w:eastAsia="Times New Roman" w:cs="Calibri"/>
                <w:i/>
                <w:iCs/>
                <w:color w:themeColor="text1" w:val="000000"/>
                <w:sz w:val="22"/>
                <w:szCs w:val="22"/>
              </w:rPr>
              <w:t>Najciekawsze przypadki w psychologii</w:t>
            </w:r>
            <w:r>
              <w:rPr>
                <w:rFonts w:eastAsia="Times New Roman" w:cs="Calibri"/>
                <w:color w:themeColor="text1" w:val="000000"/>
                <w:sz w:val="22"/>
                <w:szCs w:val="22"/>
              </w:rPr>
              <w:t>. UJ.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360" w:start="308"/>
              <w:contextualSpacing/>
              <w:jc w:val="both"/>
              <w:rPr/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eastAsia="pl-PL" w:bidi="ar-SA"/>
              </w:rPr>
              <w:t xml:space="preserve">Rzepa, T., Domański, C. W. (red.). (2011–2016). </w:t>
            </w:r>
            <w:r>
              <w:rPr>
                <w:rStyle w:val="Emphasis"/>
                <w:rFonts w:cs="Calibri" w:ascii="Calibri" w:hAnsi="Calibri"/>
                <w:b w:val="false"/>
                <w:strike w:val="false"/>
                <w:dstrike w:val="false"/>
                <w:color w:themeColor="text1" w:val="000000"/>
                <w:sz w:val="22"/>
                <w:szCs w:val="22"/>
                <w:u w:val="none"/>
                <w:effect w:val="none"/>
                <w:lang w:eastAsia="pl-PL" w:bidi="ar-SA"/>
              </w:rPr>
              <w:t xml:space="preserve">Na drogach </w:t>
              <w:br/>
              <w:t>i bezdrożach historii psychologii</w:t>
            </w: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eastAsia="pl-PL" w:bidi="ar-SA"/>
              </w:rPr>
              <w:t xml:space="preserve"> (t. 1–5). UMCS.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360" w:start="308"/>
              <w:contextualSpacing/>
              <w:jc w:val="both"/>
              <w:rPr/>
            </w:pPr>
            <w:r>
              <w:rPr>
                <w:rFonts w:eastAsia="Arial Unicode MS" w:ascii="Calibri" w:hAnsi="Calibri"/>
                <w:b w:val="false"/>
                <w:strike w:val="false"/>
                <w:dstrike w:val="false"/>
                <w:kern w:val="0"/>
                <w:sz w:val="22"/>
                <w:szCs w:val="22"/>
                <w:u w:val="none"/>
                <w:effect w:val="none"/>
              </w:rPr>
              <w:t xml:space="preserve">Tavris, C., Wade, C. (2008). </w:t>
            </w:r>
            <w:r>
              <w:rPr>
                <w:rStyle w:val="Emphasis"/>
                <w:rFonts w:eastAsia="Arial Unicode MS" w:ascii="Calibri" w:hAnsi="Calibri"/>
                <w:b w:val="false"/>
                <w:strike w:val="false"/>
                <w:dstrike w:val="false"/>
                <w:kern w:val="0"/>
                <w:sz w:val="22"/>
                <w:szCs w:val="22"/>
                <w:u w:val="none"/>
                <w:effect w:val="none"/>
              </w:rPr>
              <w:t>Psychologia: Podejścia oraz koncepcje</w:t>
            </w:r>
            <w:r>
              <w:rPr>
                <w:rFonts w:eastAsia="Arial Unicode MS" w:ascii="Calibri" w:hAnsi="Calibri"/>
                <w:b w:val="false"/>
                <w:strike w:val="false"/>
                <w:dstrike w:val="false"/>
                <w:kern w:val="0"/>
                <w:sz w:val="22"/>
                <w:szCs w:val="22"/>
                <w:u w:val="none"/>
                <w:effect w:val="none"/>
              </w:rPr>
              <w:t>. Zysk i S-ka.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133"/>
        <w:ind w:hanging="360" w:start="850"/>
        <w:rPr/>
      </w:pPr>
      <w:r>
        <w:rPr>
          <w:b/>
          <w:sz w:val="24"/>
        </w:rPr>
        <w:t xml:space="preserve">Cele, treści i efekty uczenia się </w:t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Cele przedmiotu (zajęć) (z uwzględnieniem formy zajęć) 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  <w:t xml:space="preserve">Wykłady </w:t>
      </w:r>
    </w:p>
    <w:p>
      <w:pPr>
        <w:pStyle w:val="Normal"/>
        <w:numPr>
          <w:ilvl w:val="0"/>
          <w:numId w:val="4"/>
        </w:numPr>
        <w:spacing w:before="0" w:after="23"/>
        <w:jc w:val="both"/>
        <w:rPr>
          <w:b w:val="false"/>
          <w:bCs w:val="false"/>
          <w:sz w:val="22"/>
          <w:szCs w:val="22"/>
        </w:rPr>
      </w:pPr>
      <w:r>
        <w:rPr>
          <w:rFonts w:eastAsia="Calibri" w:cs="Calibri"/>
          <w:b/>
          <w:bCs/>
          <w:sz w:val="22"/>
          <w:szCs w:val="22"/>
          <w:u w:val="none" w:color="000000"/>
        </w:rPr>
        <w:t xml:space="preserve">C1. </w:t>
      </w:r>
      <w:r>
        <w:rPr>
          <w:rFonts w:eastAsia="Calibri" w:cs="Calibri"/>
          <w:b w:val="false"/>
          <w:bCs w:val="false"/>
          <w:sz w:val="22"/>
          <w:szCs w:val="22"/>
          <w:u w:val="none" w:color="000000"/>
        </w:rPr>
        <w:t>Uzyskanie przez studentów szczegółowej wiedzy dotyczącej koncepcji teoretycznych i ich implikacji w obszarze psychologii.</w:t>
      </w:r>
    </w:p>
    <w:p>
      <w:pPr>
        <w:pStyle w:val="Normal"/>
        <w:numPr>
          <w:ilvl w:val="0"/>
          <w:numId w:val="4"/>
        </w:numPr>
        <w:spacing w:before="0" w:after="23"/>
        <w:jc w:val="both"/>
        <w:rPr>
          <w:b w:val="false"/>
          <w:bCs w:val="false"/>
          <w:sz w:val="22"/>
          <w:szCs w:val="22"/>
        </w:rPr>
      </w:pPr>
      <w:r>
        <w:rPr>
          <w:rFonts w:eastAsia="Calibri" w:cs="Calibri"/>
          <w:b/>
          <w:bCs/>
          <w:sz w:val="22"/>
          <w:szCs w:val="22"/>
          <w:u w:val="none" w:color="000000"/>
        </w:rPr>
        <w:t>C2.</w:t>
      </w:r>
      <w:r>
        <w:rPr>
          <w:rFonts w:eastAsia="Calibri" w:cs="Calibri"/>
          <w:b w:val="false"/>
          <w:bCs w:val="false"/>
          <w:sz w:val="22"/>
          <w:szCs w:val="22"/>
          <w:u w:val="none" w:color="000000"/>
        </w:rPr>
        <w:t xml:space="preserve"> Rozwinięcie przez studentów umiejętności trafnej oceny </w:t>
      </w:r>
      <w:r>
        <w:rPr>
          <w:rFonts w:eastAsia="Times New Roman" w:cs="Calibri"/>
          <w:b w:val="false"/>
          <w:bCs w:val="false"/>
          <w:sz w:val="22"/>
          <w:szCs w:val="22"/>
        </w:rPr>
        <w:t>przydatności współczesnych teorii i ich warsztatu badawczego w wyjaśnianiu problemów psychologicznych.</w:t>
      </w:r>
    </w:p>
    <w:p>
      <w:pPr>
        <w:pStyle w:val="Normal"/>
        <w:numPr>
          <w:ilvl w:val="0"/>
          <w:numId w:val="4"/>
        </w:numPr>
        <w:suppressAutoHyphens w:val="true"/>
        <w:snapToGrid w:val="false"/>
        <w:spacing w:before="0" w:after="23"/>
        <w:jc w:val="both"/>
        <w:rPr>
          <w:b w:val="false"/>
          <w:bCs w:val="false"/>
          <w:sz w:val="22"/>
          <w:szCs w:val="22"/>
        </w:rPr>
      </w:pPr>
      <w:r>
        <w:rPr>
          <w:rFonts w:eastAsia="Calibri" w:cs="Calibri"/>
          <w:b/>
          <w:bCs/>
          <w:kern w:val="2"/>
          <w:sz w:val="22"/>
          <w:szCs w:val="22"/>
          <w:u w:val="none" w:color="000000"/>
          <w:lang w:val="pl-PL"/>
          <w14:ligatures w14:val="standardContextual"/>
        </w:rPr>
        <w:t xml:space="preserve">C3. </w:t>
      </w:r>
      <w:r>
        <w:rPr>
          <w:rFonts w:eastAsia="Calibri" w:cs="Calibri"/>
          <w:b w:val="false"/>
          <w:bCs w:val="false"/>
          <w:kern w:val="2"/>
          <w:sz w:val="22"/>
          <w:szCs w:val="22"/>
          <w:u w:val="none" w:color="000000"/>
          <w:lang w:val="pl-PL"/>
          <w14:ligatures w14:val="standardContextual"/>
        </w:rPr>
        <w:t xml:space="preserve">Nabycie przez studentów </w:t>
      </w:r>
      <w:r>
        <w:rPr>
          <w:rFonts w:eastAsia="Times New Roman" w:cs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 xml:space="preserve">skłonności do ciągłego rozwoju zawodowego </w:t>
      </w:r>
      <w:r>
        <w:rPr>
          <w:rFonts w:eastAsia="Calibri" w:cs="Calibri"/>
          <w:b w:val="false"/>
          <w:bCs w:val="false"/>
          <w:kern w:val="2"/>
          <w:sz w:val="22"/>
          <w:szCs w:val="22"/>
          <w:u w:val="none" w:color="000000"/>
          <w:lang w:val="pl-PL"/>
          <w14:ligatures w14:val="standardContextual"/>
        </w:rPr>
        <w:t>w kontekście z</w:t>
      </w:r>
      <w:r>
        <w:rPr>
          <w:rFonts w:eastAsia="Times New Roman" w:cs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>różnicowania teoretycznego i praktycznego wiedzy psychologicznej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</w:r>
    </w:p>
    <w:p>
      <w:pPr>
        <w:pStyle w:val="ListParagraph"/>
        <w:spacing w:before="0" w:after="23"/>
        <w:contextualSpacing/>
        <w:rPr>
          <w:sz w:val="24"/>
          <w:szCs w:val="24"/>
        </w:rPr>
      </w:pPr>
      <w:r>
        <w:rPr>
          <w:rFonts w:cs="Calibri" w:ascii="Calibri" w:hAnsi="Calibri"/>
          <w:b/>
          <w:bCs/>
          <w:iCs/>
          <w:color w:val="auto"/>
          <w:sz w:val="24"/>
          <w:szCs w:val="24"/>
        </w:rPr>
        <w:t>E-learning</w:t>
      </w:r>
    </w:p>
    <w:p>
      <w:pPr>
        <w:pStyle w:val="Normal"/>
        <w:numPr>
          <w:ilvl w:val="0"/>
          <w:numId w:val="5"/>
        </w:numPr>
        <w:spacing w:before="0" w:after="23"/>
        <w:jc w:val="both"/>
        <w:rPr>
          <w:sz w:val="22"/>
          <w:szCs w:val="22"/>
        </w:rPr>
      </w:pPr>
      <w:r>
        <w:rPr>
          <w:rFonts w:eastAsia="Calibri" w:cs="Calibri"/>
          <w:b/>
          <w:bCs/>
          <w:sz w:val="22"/>
          <w:szCs w:val="22"/>
          <w:u w:val="none" w:color="000000"/>
        </w:rPr>
        <w:t>C1.</w:t>
      </w:r>
      <w:r>
        <w:rPr>
          <w:rFonts w:eastAsia="Calibri" w:cs="Calibri"/>
          <w:sz w:val="22"/>
          <w:szCs w:val="22"/>
          <w:u w:val="none" w:color="000000"/>
        </w:rPr>
        <w:t xml:space="preserve"> Uzyskanie przez studentów wiedzy dotyczącej wybranych  koncepcji teoretycznych i ich implikacji w obszarze psychologii.</w:t>
      </w:r>
    </w:p>
    <w:p>
      <w:pPr>
        <w:pStyle w:val="Normal"/>
        <w:numPr>
          <w:ilvl w:val="0"/>
          <w:numId w:val="5"/>
        </w:numPr>
        <w:spacing w:before="0" w:after="23"/>
        <w:jc w:val="both"/>
        <w:rPr/>
      </w:pPr>
      <w:r>
        <w:rPr>
          <w:rFonts w:eastAsia="Calibri" w:cs="Calibri"/>
          <w:b/>
          <w:bCs/>
          <w:sz w:val="22"/>
          <w:szCs w:val="22"/>
          <w:u w:val="none" w:color="000000"/>
        </w:rPr>
        <w:t>C2</w:t>
      </w:r>
      <w:r>
        <w:rPr>
          <w:rFonts w:eastAsia="Calibri" w:cs="Calibri"/>
          <w:sz w:val="22"/>
          <w:szCs w:val="22"/>
          <w:u w:val="none" w:color="000000"/>
        </w:rPr>
        <w:t xml:space="preserve">. Rozwinięcie przez studentów umiejętności trafnej oceny </w:t>
      </w:r>
      <w:r>
        <w:rPr>
          <w:rFonts w:eastAsia="Times New Roman" w:cs="Calibri"/>
          <w:sz w:val="22"/>
          <w:szCs w:val="22"/>
        </w:rPr>
        <w:t>przydatności wybranych współczesnych  teorii w wyjaśnianiu problemów psychologicznych.</w:t>
      </w:r>
    </w:p>
    <w:p>
      <w:pPr>
        <w:pStyle w:val="ListParagraph"/>
        <w:numPr>
          <w:ilvl w:val="0"/>
          <w:numId w:val="5"/>
        </w:numPr>
        <w:spacing w:before="0" w:after="23"/>
        <w:contextualSpacing w:val="false"/>
        <w:jc w:val="both"/>
        <w:rPr>
          <w:sz w:val="22"/>
          <w:szCs w:val="22"/>
        </w:rPr>
      </w:pPr>
      <w:r>
        <w:rPr>
          <w:rFonts w:eastAsia="Calibri" w:cs="Calibri" w:ascii="Calibri" w:hAnsi="Calibri"/>
          <w:b/>
          <w:bCs/>
          <w:kern w:val="2"/>
          <w:sz w:val="22"/>
          <w:szCs w:val="22"/>
          <w:u w:val="none" w:color="000000"/>
          <w:lang w:val="pl-PL"/>
          <w14:ligatures w14:val="standardContextual"/>
        </w:rPr>
        <w:t xml:space="preserve">C3. 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u w:val="none" w:color="000000"/>
          <w:lang w:val="pl-PL"/>
          <w14:ligatures w14:val="standardContextual"/>
        </w:rPr>
        <w:t xml:space="preserve">Nabycie przez studentów </w:t>
      </w:r>
      <w:r>
        <w:rPr>
          <w:rFonts w:eastAsia="Times New Roman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 xml:space="preserve">skłonności do ciągłego rozwoju zawodowego 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u w:val="none" w:color="000000"/>
          <w:lang w:val="pl-PL"/>
          <w14:ligatures w14:val="standardContextual"/>
        </w:rPr>
        <w:t>w kontekście z</w:t>
      </w:r>
      <w:r>
        <w:rPr>
          <w:rFonts w:eastAsia="Times New Roman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>różnicowania teoretycznego i praktycznego wiedzy psychologicznej.</w:t>
      </w:r>
    </w:p>
    <w:p>
      <w:pPr>
        <w:pStyle w:val="ListParagraph"/>
        <w:spacing w:before="0" w:after="23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1"/>
          <w:numId w:val="1"/>
        </w:numPr>
        <w:spacing w:lineRule="auto" w:line="269" w:before="0" w:after="134"/>
        <w:ind w:hanging="566" w:start="1118"/>
        <w:rPr/>
      </w:pPr>
      <w:r>
        <w:rPr>
          <w:b/>
          <w:sz w:val="24"/>
        </w:rPr>
        <w:t>Treści programowe (z uwzględnieniem formy zajęć)</w:t>
      </w:r>
    </w:p>
    <w:p>
      <w:pPr>
        <w:pStyle w:val="Normal"/>
        <w:spacing w:lineRule="auto" w:line="269" w:before="0" w:after="0"/>
        <w:ind w:hanging="10" w:start="562"/>
        <w:rPr>
          <w:b/>
          <w:sz w:val="24"/>
        </w:rPr>
      </w:pPr>
      <w:r>
        <w:rPr>
          <w:b/>
          <w:sz w:val="24"/>
        </w:rPr>
        <w:t xml:space="preserve">Wykłady </w:t>
      </w:r>
    </w:p>
    <w:p>
      <w:pPr>
        <w:pStyle w:val="Normal"/>
        <w:spacing w:lineRule="auto" w:line="269" w:before="0" w:after="0"/>
        <w:ind w:hanging="10" w:start="562"/>
        <w:rPr/>
      </w:pPr>
      <w:r>
        <w:rPr/>
        <w:t>1.</w:t>
      </w:r>
      <w:r>
        <w:rPr>
          <w:rFonts w:eastAsia="Times New Roman" w:cs="Calibri"/>
          <w:sz w:val="22"/>
          <w:szCs w:val="22"/>
        </w:rPr>
        <w:t xml:space="preserve"> </w:t>
      </w:r>
      <w:r>
        <w:rPr>
          <w:rFonts w:eastAsia="Calibri" w:cs="Calibri"/>
          <w:iCs/>
          <w:color w:val="auto"/>
          <w:sz w:val="22"/>
          <w:szCs w:val="22"/>
          <w:u w:val="none" w:color="000000"/>
        </w:rPr>
        <w:t>Zapoznanie z kartą przedmiotu i warunkami zaliczenia.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2. Historyczna geneza współczesnych kierunków psychologii.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>
          <w:rFonts w:eastAsia="Times New Roman" w:cs="Calibri"/>
          <w:sz w:val="22"/>
          <w:szCs w:val="22"/>
        </w:rPr>
        <w:t>3. Perspektywa biologiczna i ewolucyjna w psychologii.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>
          <w:rFonts w:eastAsia="Times New Roman" w:cs="Calibri"/>
          <w:sz w:val="22"/>
          <w:szCs w:val="22"/>
        </w:rPr>
        <w:t>4. Perspektywa postmodernistyczna w psychologii.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>
          <w:rFonts w:eastAsia="Times New Roman" w:cs="Calibri"/>
          <w:sz w:val="22"/>
          <w:szCs w:val="22"/>
        </w:rPr>
        <w:t>5. Perspektywa społeczno-kulturowa w psychologii.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>
          <w:rFonts w:eastAsia="Times New Roman" w:cs="Calibri"/>
          <w:sz w:val="22"/>
          <w:szCs w:val="22"/>
        </w:rPr>
        <w:t>6. Perspektywa poznawcza w psychologii.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>
          <w:rFonts w:eastAsia="Times New Roman" w:cs="Calibri"/>
          <w:sz w:val="22"/>
          <w:szCs w:val="22"/>
        </w:rPr>
        <w:t>7. Psychologia pozytywna.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8. Psychologia poznawczo-behawioralna.</w:t>
      </w:r>
    </w:p>
    <w:p>
      <w:pPr>
        <w:pStyle w:val="Normal"/>
        <w:spacing w:lineRule="auto" w:line="269" w:before="0" w:after="0"/>
        <w:ind w:hanging="10" w:start="562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9. Psychologia Internetu i nowych technologii.</w:t>
      </w:r>
    </w:p>
    <w:p>
      <w:pPr>
        <w:pStyle w:val="Normal"/>
        <w:spacing w:lineRule="auto" w:line="269" w:before="0" w:after="0"/>
        <w:ind w:hanging="10" w:start="562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10. Trzecia fala terapii (ACT, DBT, mindfulness, terapia schematów).</w:t>
      </w:r>
    </w:p>
    <w:p>
      <w:pPr>
        <w:pStyle w:val="Normal"/>
        <w:spacing w:lineRule="auto" w:line="269" w:before="0" w:after="0"/>
        <w:ind w:hanging="10" w:start="562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11. Mity i kontrowersje współczesnej psychologii.</w:t>
      </w:r>
    </w:p>
    <w:p>
      <w:pPr>
        <w:pStyle w:val="Normal"/>
        <w:spacing w:lineRule="auto" w:line="269" w:before="0" w:after="0"/>
        <w:ind w:hanging="0" w:start="552"/>
        <w:rPr>
          <w:sz w:val="22"/>
          <w:szCs w:val="22"/>
        </w:rPr>
      </w:pPr>
      <w:r>
        <w:rPr>
          <w:rFonts w:eastAsia="Times New Roman" w:cs="Calibri"/>
          <w:sz w:val="22"/>
          <w:szCs w:val="22"/>
        </w:rPr>
        <w:t>12. Sporne problemy we współczesnej psychologii.</w:t>
      </w:r>
    </w:p>
    <w:p>
      <w:pPr>
        <w:pStyle w:val="Normal"/>
        <w:spacing w:before="0" w:after="22"/>
        <w:ind w:hanging="10" w:start="703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2"/>
        <w:ind w:hanging="10" w:start="703"/>
        <w:rPr>
          <w:sz w:val="24"/>
        </w:rPr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0" w:start="693"/>
        <w:rPr/>
      </w:pPr>
      <w:r>
        <w:rPr/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rFonts w:eastAsia="Arial"/>
          <w:b/>
          <w:sz w:val="24"/>
          <w:szCs w:val="22"/>
        </w:rPr>
        <w:t>Ćwiczenia</w:t>
      </w:r>
    </w:p>
    <w:p>
      <w:pPr>
        <w:pStyle w:val="Normal"/>
        <w:spacing w:before="0" w:after="22"/>
        <w:ind w:hanging="10" w:start="703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2"/>
        <w:ind w:hanging="10" w:start="703"/>
        <w:rPr>
          <w:sz w:val="24"/>
        </w:rPr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/>
        <w:t xml:space="preserve">1. nie dotyczy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rFonts w:eastAsia="Arial"/>
          <w:b/>
          <w:sz w:val="24"/>
          <w:szCs w:val="22"/>
        </w:rPr>
        <w:t>E-learning</w:t>
      </w:r>
    </w:p>
    <w:p>
      <w:pPr>
        <w:pStyle w:val="Normal"/>
        <w:spacing w:lineRule="auto" w:line="240" w:before="0" w:after="24"/>
        <w:ind w:hanging="10" w:start="703"/>
        <w:rPr>
          <w:sz w:val="22"/>
          <w:szCs w:val="22"/>
        </w:rPr>
      </w:pPr>
      <w:r>
        <w:rPr>
          <w:rFonts w:eastAsia="Arial"/>
          <w:b w:val="false"/>
          <w:bCs w:val="false"/>
          <w:sz w:val="22"/>
          <w:szCs w:val="22"/>
        </w:rPr>
        <w:t xml:space="preserve">1. Zapoznanie z kartą przedmiotu i warunkami zaliczenia. </w:t>
      </w:r>
    </w:p>
    <w:p>
      <w:pPr>
        <w:pStyle w:val="Normal"/>
        <w:spacing w:lineRule="auto" w:line="240" w:before="0" w:after="24"/>
        <w:ind w:hanging="10" w:start="703"/>
        <w:rPr>
          <w:sz w:val="22"/>
          <w:szCs w:val="22"/>
        </w:rPr>
      </w:pPr>
      <w:r>
        <w:rPr>
          <w:rFonts w:eastAsia="Arial"/>
          <w:b w:val="false"/>
          <w:bCs w:val="false"/>
          <w:sz w:val="22"/>
          <w:szCs w:val="22"/>
        </w:rPr>
        <w:t xml:space="preserve">2. </w:t>
      </w:r>
      <w:r>
        <w:rPr>
          <w:rFonts w:eastAsia="Arial" w:cs="Calibri"/>
          <w:b w:val="false"/>
          <w:bCs w:val="false"/>
          <w:iCs/>
          <w:color w:val="auto"/>
          <w:sz w:val="22"/>
          <w:szCs w:val="22"/>
        </w:rPr>
        <w:t>Psychologia pracy i organizacji.</w:t>
      </w:r>
      <w:r>
        <w:rPr>
          <w:sz w:val="22"/>
          <w:szCs w:val="22"/>
        </w:rPr>
        <w:t xml:space="preserve"> </w:t>
      </w:r>
    </w:p>
    <w:p>
      <w:pPr>
        <w:pStyle w:val="Normal"/>
        <w:spacing w:lineRule="auto" w:line="240" w:before="0" w:after="24"/>
        <w:ind w:hanging="10" w:start="703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rFonts w:cs="Calibri"/>
          <w:iCs/>
          <w:color w:val="auto"/>
          <w:sz w:val="22"/>
          <w:szCs w:val="22"/>
        </w:rPr>
        <w:t>Psychologia środowiskowa.</w:t>
      </w:r>
    </w:p>
    <w:p>
      <w:pPr>
        <w:pStyle w:val="Normal"/>
        <w:spacing w:lineRule="auto" w:line="240" w:before="0" w:after="24"/>
        <w:ind w:hanging="10" w:start="703"/>
        <w:rPr>
          <w:szCs w:val="22"/>
        </w:rPr>
      </w:pPr>
      <w:r>
        <w:rPr>
          <w:rFonts w:cs="Calibri"/>
          <w:iCs/>
          <w:color w:val="auto"/>
          <w:sz w:val="22"/>
          <w:szCs w:val="22"/>
        </w:rPr>
        <w:t xml:space="preserve">4. </w:t>
      </w:r>
      <w:r>
        <w:rPr>
          <w:rFonts w:eastAsia="Times New Roman" w:cs="Calibri"/>
          <w:iCs/>
          <w:color w:val="auto"/>
          <w:sz w:val="22"/>
          <w:szCs w:val="22"/>
        </w:rPr>
        <w:t>Nowe kierunki badań w psychologii.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23"/>
        <w:ind w:hanging="10" w:start="577"/>
        <w:rPr>
          <w:b/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 xml:space="preserve">Inne </w:t>
      </w:r>
    </w:p>
    <w:p>
      <w:pPr>
        <w:pStyle w:val="Normal"/>
        <w:spacing w:before="0" w:after="23"/>
        <w:ind w:hanging="10" w:start="577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22"/>
        <w:ind w:hanging="10" w:start="703"/>
        <w:rPr/>
      </w:pPr>
      <w:r>
        <w:rPr/>
        <w:tab/>
      </w: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tabs>
          <w:tab w:val="clear" w:pos="708"/>
          <w:tab w:val="center" w:pos="658" w:leader="none"/>
          <w:tab w:val="center" w:pos="1133" w:leader="none"/>
        </w:tabs>
        <w:spacing w:before="0" w:after="24"/>
        <w:rPr/>
      </w:pPr>
      <w:r>
        <w:rPr/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jc w:val="start"/>
        <w:tblInd w:w="313" w:type="dxa"/>
        <w:tblLayout w:type="fixed"/>
        <w:tblCellMar>
          <w:top w:w="47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5"/>
        <w:gridCol w:w="6804"/>
        <w:gridCol w:w="1769"/>
      </w:tblGrid>
      <w:tr>
        <w:trPr>
          <w:trHeight w:val="989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Efekty przedmiotowe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Odniesienie do kierunkowych efektów uczenia się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wiedzy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2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Style w:val="markedcontent"/>
                <w:rFonts w:cs="Calibri"/>
                <w:sz w:val="22"/>
                <w:szCs w:val="22"/>
              </w:rPr>
              <w:t>Ma uporządkowaną i pogłębioną wiedzę zmianach, które zachodziły we współczesnych kierunkach i nurtach psychologii, które się wyłoniły celem wyjaśniania zachowań człowieka.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PSYCH_W01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Posiada podstawową wiedzę z zakresu współczesnych kierunków psychologii i ich rodowodzie w systemach filozoficznych i teorii poznania.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PSYCH_W04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Zna terminologię oraz osiągnięcia z zakresu nauk społecznych służącą wyjaśnianiu, opisowi i przewidywaniu zachodzących zjawisk psychospołecznych, charakterystycznych dla współczesnych nurtów</w:t>
              <w:br/>
              <w:t>i kierunków psychologii jako nauki empirycznej.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PSYCH_W07</w:t>
            </w:r>
          </w:p>
        </w:tc>
      </w:tr>
      <w:tr>
        <w:trPr>
          <w:trHeight w:val="590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umiejętności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Style w:val="markedcontent"/>
                <w:rFonts w:cs="Calibri"/>
                <w:sz w:val="22"/>
                <w:szCs w:val="22"/>
              </w:rPr>
              <w:t>Potrafi analizować, porównać i wyjaśniać sposób rozumienia człowieka</w:t>
              <w:br/>
              <w:t>i zjawisk psychospołecznych w różnych współczesnych kierunkach psychologii</w:t>
            </w:r>
            <w:r>
              <w:rPr>
                <w:rFonts w:cs="Calibri"/>
                <w:sz w:val="22"/>
                <w:szCs w:val="22"/>
              </w:rPr>
              <w:t xml:space="preserve"> posługując się wiedzą teoretyczną do ich opisu.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PSYCH_U01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Potrafi posłużyć się psychologiczną wiedzą z współczesnych kierunków psychologicznych do zaproponowania  badań naukowych i  programu wsparcia osoby lub grupy.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PSYCH_U02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U03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Umie zdobywać i pogłębiać wiedzę, jest świadomy potrzeby ustawicznego kształcenia w zawodzie psychologa oraz jest otwarty na szersze naukowe poznanie w kontekście wielu kierunków i nurtów psychologii.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PSYCH_U12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837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kompetencji społecznych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kern w:val="2"/>
                <w:sz w:val="22"/>
                <w:szCs w:val="22"/>
                <w:lang w:val="pl-PL" w:eastAsia="pl-PL" w:bidi="ar-SA"/>
              </w:rPr>
              <w:t>Jest świadomy konieczności przestrzegania zasad etyki wykonywania zawodu psychologa oraz umie postępować zgodnie z zasadami etycznymi</w:t>
              <w:br/>
              <w:t>i uregulowaniami prawnymi w kontekście różnych kierunków psychologii.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PSYCH_K06</w:t>
            </w:r>
          </w:p>
        </w:tc>
      </w:tr>
    </w:tbl>
    <w:p>
      <w:pPr>
        <w:pStyle w:val="Normal"/>
        <w:numPr>
          <w:ilvl w:val="1"/>
          <w:numId w:val="1"/>
        </w:numPr>
        <w:spacing w:lineRule="auto" w:line="269" w:before="0" w:after="127"/>
        <w:ind w:hanging="566" w:start="1118"/>
        <w:rPr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>
      <w:pPr>
        <w:pStyle w:val="Normal"/>
        <w:spacing w:before="0" w:after="22"/>
        <w:ind w:hanging="10" w:start="1286" w:end="1"/>
        <w:jc w:val="center"/>
        <w:rPr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jc w:val="start"/>
        <w:tblInd w:w="316" w:type="dxa"/>
        <w:tblLayout w:type="fixed"/>
        <w:tblCellMar>
          <w:top w:w="48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1"/>
        <w:gridCol w:w="1233"/>
        <w:gridCol w:w="1219"/>
        <w:gridCol w:w="1205"/>
        <w:gridCol w:w="1210"/>
        <w:gridCol w:w="1203"/>
        <w:gridCol w:w="1219"/>
        <w:gridCol w:w="1284"/>
      </w:tblGrid>
      <w:tr>
        <w:trPr>
          <w:trHeight w:val="1482" w:hRule="atLeast"/>
        </w:trPr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Efekty przedmiotowe</w:t>
            </w:r>
          </w:p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Egzamin</w:t>
            </w:r>
          </w:p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pisemny* 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Kolokwium* 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Praca własna*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b/>
                <w:kern w:val="2"/>
                <w:sz w:val="20"/>
                <w:szCs w:val="24"/>
                <w:lang w:val="pl-PL" w:eastAsia="pl-PL" w:bidi="ar-SA"/>
              </w:rPr>
              <w:t xml:space="preserve">(jakie?)* </w:t>
              <w:br/>
              <w:t>(e-learning)</w:t>
            </w:r>
          </w:p>
        </w:tc>
      </w:tr>
      <w:tr>
        <w:trPr>
          <w:trHeight w:val="244" w:hRule="atLeast"/>
        </w:trPr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W03</w:t>
            </w:r>
          </w:p>
        </w:tc>
        <w:tc>
          <w:tcPr>
            <w:tcW w:w="12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U03</w:t>
            </w:r>
          </w:p>
        </w:tc>
        <w:tc>
          <w:tcPr>
            <w:tcW w:w="12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22" w:hRule="atLeast"/>
        </w:trPr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1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</w:tbl>
    <w:p>
      <w:pPr>
        <w:pStyle w:val="Normal"/>
        <w:spacing w:before="0" w:after="22"/>
        <w:ind w:hanging="10" w:start="1286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10069" w:type="dxa"/>
        <w:jc w:val="start"/>
        <w:tblInd w:w="2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162"/>
        <w:gridCol w:w="425"/>
        <w:gridCol w:w="425"/>
        <w:gridCol w:w="426"/>
        <w:gridCol w:w="425"/>
        <w:gridCol w:w="425"/>
        <w:gridCol w:w="429"/>
        <w:gridCol w:w="426"/>
        <w:gridCol w:w="425"/>
        <w:gridCol w:w="425"/>
        <w:gridCol w:w="425"/>
        <w:gridCol w:w="426"/>
        <w:gridCol w:w="421"/>
        <w:gridCol w:w="398"/>
        <w:gridCol w:w="426"/>
        <w:gridCol w:w="426"/>
        <w:gridCol w:w="428"/>
        <w:gridCol w:w="425"/>
        <w:gridCol w:w="426"/>
        <w:gridCol w:w="425"/>
        <w:gridCol w:w="425"/>
        <w:gridCol w:w="425"/>
      </w:tblGrid>
      <w:tr>
        <w:trPr/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8890" distB="8890" distL="5080" distR="4445" simplePos="0" relativeHeight="2" behindDoc="0" locked="0" layoutInCell="1" allowOverlap="1" wp14:anchorId="3BCAED5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5080" t="8890" r="4445" b="8890"/>
                      <wp:wrapNone/>
                      <wp:docPr id="1" name="Łącznik prosty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43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5608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25pt,1.15pt" to="50.2pt,28.1pt" stroked="t" o:allowincell="t" style="position:absolute" wp14:anchorId="3BCAED55">
                      <v:stroke color="#156082" weight="190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 xml:space="preserve">               </w: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1:</w:t>
            </w:r>
          </w:p>
          <w:p>
            <w:pPr>
              <w:pStyle w:val="Normal"/>
              <w:widowControl/>
              <w:suppressAutoHyphens w:val="true"/>
              <w:spacing w:before="0" w:after="2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2: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E</w:t>
            </w:r>
          </w:p>
        </w:tc>
      </w:tr>
      <w:tr>
        <w:trPr/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1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W03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1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U03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0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69" w:before="0" w:after="131"/>
        <w:ind w:hanging="566" w:start="1118"/>
        <w:rPr/>
      </w:pPr>
      <w:r>
        <w:rPr>
          <w:b/>
          <w:sz w:val="24"/>
        </w:rPr>
        <w:t xml:space="preserve">Kryteria oceny stopnia osiągnięcia efektów uczenia się </w:t>
      </w:r>
    </w:p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322"/>
        <w:rPr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jc w:val="start"/>
        <w:tblInd w:w="314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59"/>
        <w:gridCol w:w="8883"/>
      </w:tblGrid>
      <w:tr>
        <w:trPr>
          <w:trHeight w:val="305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3,0 </w:t>
            </w:r>
          </w:p>
        </w:tc>
        <w:tc>
          <w:tcPr>
            <w:tcW w:w="8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od 50% </w:t>
            </w:r>
            <w:r>
              <w:rPr>
                <w:rFonts w:cs="Calibri"/>
                <w:color w:val="auto"/>
                <w:kern w:val="2"/>
                <w:sz w:val="20"/>
                <w:szCs w:val="20"/>
                <w:lang w:val="pl-PL" w:eastAsia="pl-PL" w:bidi="ar-SA"/>
              </w:rPr>
              <w:t>punktów z egzaminu pisemnego</w:t>
            </w:r>
          </w:p>
        </w:tc>
      </w:tr>
      <w:tr>
        <w:trPr>
          <w:trHeight w:val="305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3,5 </w:t>
            </w:r>
          </w:p>
        </w:tc>
        <w:tc>
          <w:tcPr>
            <w:tcW w:w="8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>od 61%</w:t>
            </w: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cs="Calibri"/>
                <w:color w:val="auto"/>
                <w:kern w:val="2"/>
                <w:sz w:val="20"/>
                <w:szCs w:val="20"/>
                <w:lang w:val="pl-PL" w:eastAsia="pl-PL" w:bidi="ar-SA"/>
              </w:rPr>
              <w:t>punktów z egzaminu pisemnego</w:t>
            </w: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4,0 </w:t>
            </w:r>
          </w:p>
        </w:tc>
        <w:tc>
          <w:tcPr>
            <w:tcW w:w="8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>od 71%</w:t>
            </w: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cs="Calibri"/>
                <w:color w:val="auto"/>
                <w:kern w:val="2"/>
                <w:sz w:val="20"/>
                <w:szCs w:val="20"/>
                <w:lang w:val="pl-PL" w:eastAsia="pl-PL" w:bidi="ar-SA"/>
              </w:rPr>
              <w:t>punktów z egzaminu pisemnego</w:t>
            </w: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4,5 </w:t>
            </w:r>
          </w:p>
        </w:tc>
        <w:tc>
          <w:tcPr>
            <w:tcW w:w="8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>od 81%</w:t>
            </w: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cs="Calibri"/>
                <w:color w:val="auto"/>
                <w:kern w:val="2"/>
                <w:sz w:val="20"/>
                <w:szCs w:val="20"/>
                <w:lang w:val="pl-PL" w:eastAsia="pl-PL" w:bidi="ar-SA"/>
              </w:rPr>
              <w:t>punktów z egzaminu pisemnego</w:t>
            </w: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5,0 </w:t>
            </w:r>
          </w:p>
        </w:tc>
        <w:tc>
          <w:tcPr>
            <w:tcW w:w="8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>od 91%</w:t>
            </w: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cs="Calibri"/>
                <w:color w:val="auto"/>
                <w:kern w:val="2"/>
                <w:sz w:val="20"/>
                <w:szCs w:val="20"/>
                <w:lang w:val="pl-PL" w:eastAsia="pl-PL" w:bidi="ar-SA"/>
              </w:rPr>
              <w:t>punktów z egzaminu pisemnego</w:t>
            </w: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 </w:t>
      </w:r>
    </w:p>
    <w:p>
      <w:pPr>
        <w:pStyle w:val="Normal"/>
        <w:spacing w:before="0" w:after="22"/>
        <w:ind w:hanging="0" w:start="226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0"/>
        <w:jc w:val="start"/>
        <w:rPr/>
      </w:pPr>
      <w:r>
        <w:rPr>
          <w:b/>
          <w:sz w:val="24"/>
        </w:rPr>
        <w:t xml:space="preserve">       </w:t>
      </w:r>
      <w:r>
        <w:rPr>
          <w:b/>
          <w:sz w:val="24"/>
        </w:rPr>
        <w:t>E-learning (E-l)</w:t>
      </w:r>
      <w:r>
        <w:rPr>
          <w:sz w:val="24"/>
        </w:rPr>
        <w:t xml:space="preserve"> </w:t>
      </w:r>
    </w:p>
    <w:tbl>
      <w:tblPr>
        <w:tblStyle w:val="TableGrid"/>
        <w:tblW w:w="9830" w:type="dxa"/>
        <w:jc w:val="start"/>
        <w:tblInd w:w="322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56"/>
        <w:gridCol w:w="8874"/>
      </w:tblGrid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ZAL</w:t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rFonts w:cs="Calibri"/>
                <w:b w:val="false"/>
                <w:bCs w:val="false"/>
                <w:color w:val="auto"/>
                <w:kern w:val="2"/>
                <w:sz w:val="20"/>
                <w:szCs w:val="20"/>
                <w:lang w:val="pl-PL" w:eastAsia="pl-PL" w:bidi="ar-SA"/>
              </w:rPr>
              <w:t>od 50% wyniku zaliczenia wszystkich wymaganych zadań tematycznych na platformie e-learning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jc w:val="start"/>
        <w:tblInd w:w="313" w:type="dxa"/>
        <w:tblLayout w:type="fixed"/>
        <w:tblCellMar>
          <w:top w:w="47" w:type="dxa"/>
          <w:start w:w="112" w:type="dxa"/>
          <w:bottom w:w="0" w:type="dxa"/>
          <w:end w:w="97" w:type="dxa"/>
        </w:tblCellMar>
        <w:tblLook w:val="04a0" w:firstRow="1" w:noVBand="1" w:lastRow="0" w:firstColumn="1" w:lastColumn="0" w:noHBand="0"/>
      </w:tblPr>
      <w:tblGrid>
        <w:gridCol w:w="5501"/>
        <w:gridCol w:w="2173"/>
        <w:gridCol w:w="2171"/>
      </w:tblGrid>
      <w:tr>
        <w:trPr>
          <w:trHeight w:val="600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1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Kategoria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niestacjonarne </w:t>
            </w:r>
          </w:p>
        </w:tc>
      </w:tr>
      <w:tr>
        <w:trPr>
          <w:trHeight w:val="59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LICZBA GODZIN REALIZOWANYCH PRZY BEZPOŚREDNIM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40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15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E-learning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601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end="79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598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7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SAMODZIELNA PRACA STUDENTA (GODZINY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35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wykładu w tym zapoznanie z literaturą*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Przygotowanie do egzaminu w tym zapoznanie z literaturą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6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zadań tematycznych w kształceniu na platformie e-learning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kern w:val="2"/>
                <w:sz w:val="20"/>
                <w:szCs w:val="24"/>
                <w:lang w:val="pl-PL" w:eastAsia="pl-PL" w:bidi="ar-SA"/>
              </w:rPr>
              <w:t>(jakie?)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- 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50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</w:t>
            </w:r>
          </w:p>
        </w:tc>
      </w:tr>
    </w:tbl>
    <w:p>
      <w:pPr>
        <w:pStyle w:val="Normal"/>
        <w:spacing w:before="0" w:after="0"/>
        <w:ind w:start="254"/>
        <w:rPr/>
      </w:pPr>
      <w:r>
        <w:rPr>
          <w:b/>
          <w:sz w:val="20"/>
        </w:rPr>
        <w:t xml:space="preserve">*niepotrzebne usunąć </w:t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>
      <w:pPr>
        <w:pStyle w:val="Normal"/>
        <w:spacing w:before="0" w:after="0"/>
        <w:ind w:end="278"/>
        <w:jc w:val="end"/>
        <w:rPr/>
      </w:pPr>
      <w:r>
        <w:rPr>
          <w:sz w:val="21"/>
        </w:rPr>
        <w:t>…………………………………………………………………………………………………………………………………………</w:t>
      </w:r>
      <w:r>
        <w:rPr>
          <w:sz w:val="21"/>
        </w:rPr>
        <w:t xml:space="preserve">.. </w:t>
      </w:r>
    </w:p>
    <w:sectPr>
      <w:type w:val="nextPage"/>
      <w:pgSz w:w="11906" w:h="16838"/>
      <w:pgMar w:left="720" w:right="716" w:gutter="0" w:header="0" w:top="768" w:footer="0" w:bottom="7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 Unicode MS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50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18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979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13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08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80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352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424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9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314"/>
      <w:ind w:end="7"/>
      <w:jc w:val="center"/>
      <w:outlineLvl w:val="0"/>
    </w:pPr>
    <w:rPr>
      <w:rFonts w:ascii="Calibri" w:hAnsi="Calibri" w:eastAsia="Calibri" w:cs="Calibri"/>
      <w:b/>
      <w:color w:val="000000"/>
      <w:kern w:val="2"/>
      <w:sz w:val="32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000000"/>
      <w:sz w:val="32"/>
    </w:rPr>
  </w:style>
  <w:style w:type="character" w:styleId="Emphasis">
    <w:name w:val="Emphasis"/>
    <w:qFormat/>
    <w:rPr>
      <w:i/>
      <w:iCs/>
    </w:rPr>
  </w:style>
  <w:style w:type="character" w:styleId="markedcontent">
    <w:name w:val="markedcontent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41360"/>
    <w:pPr>
      <w:spacing w:lineRule="auto" w:line="240" w:before="0" w:after="0"/>
      <w:ind w:start="720"/>
      <w:contextualSpacing/>
    </w:pPr>
    <w:rPr>
      <w:rFonts w:ascii="Arial Unicode MS" w:hAnsi="Arial Unicode MS" w:eastAsia="Arial Unicode MS" w:cs="Arial Unicode MS"/>
      <w:kern w:val="0"/>
      <w:sz w:val="24"/>
      <w:lang w:val="pl-PL"/>
      <w14:ligatures w14:val="none"/>
    </w:rPr>
  </w:style>
  <w:style w:type="paragraph" w:styleId="Cytatblokowyuser">
    <w:name w:val="Cytat blokowy (user)"/>
    <w:basedOn w:val="Normal"/>
    <w:qFormat/>
    <w:pPr>
      <w:spacing w:before="0" w:after="283"/>
      <w:ind w:hanging="0" w:start="567" w:end="567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LibreOffice/26.2.4.2$Windows_X86_64 LibreOffice_project/0229ac93fcf0d7cbc6376066c6f35021cef002dc</Application>
  <AppVersion>15.0000</AppVersion>
  <Pages>5</Pages>
  <Words>1028</Words>
  <Characters>6705</Characters>
  <CharactersWithSpaces>7607</CharactersWithSpaces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2026-02-09T10:15:00Z</dcterms:created>
  <dc:creator>Rektor UJK</dc:creator>
  <dc:description/>
  <cp:keywords>Zarządzenie nr 189-2025 Budowa programu studiów Załącznik nr 4</cp:keywords>
  <dc:language>pl-PL</dc:language>
  <cp:lastModifiedBy/>
  <dcterms:modified xsi:type="dcterms:W3CDTF">2026-06-28T15:13:49Z</dcterms:modified>
  <cp:revision>11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