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36"/>
        <w:jc w:val="end"/>
        <w:rPr/>
      </w:pPr>
      <w:r>
        <w:rPr>
          <w:sz w:val="24"/>
        </w:rPr>
        <w:t xml:space="preserve">Załącznik nr 4 do zarządzenia nr 189/2025 </w:t>
      </w:r>
    </w:p>
    <w:p>
      <w:pPr>
        <w:pStyle w:val="Heading1"/>
        <w:rPr/>
      </w:pPr>
      <w:r>
        <w:rPr/>
        <w:t xml:space="preserve">KARTA PRZEDMIOTU (ZAJĘĆ) </w:t>
      </w:r>
    </w:p>
    <w:p>
      <w:pPr>
        <w:pStyle w:val="Normal"/>
        <w:spacing w:lineRule="auto" w:line="269" w:before="0" w:after="251"/>
        <w:ind w:hanging="10" w:start="435"/>
        <w:rPr/>
      </w:pPr>
      <w:r>
        <w:rPr>
          <w:b/>
          <w:sz w:val="24"/>
        </w:rPr>
        <w:t xml:space="preserve">Kod przedmiotu (zajęć): </w:t>
      </w:r>
      <w:r>
        <w:rPr>
          <w:color w:val="auto"/>
          <w:szCs w:val="22"/>
        </w:rPr>
        <w:t>0313.3.PSY.B24.DP</w:t>
      </w:r>
      <w:r>
        <w:rPr>
          <w:color w:val="auto"/>
          <w:sz w:val="20"/>
          <w:szCs w:val="20"/>
        </w:rPr>
        <w:t xml:space="preserve"> </w:t>
      </w:r>
    </w:p>
    <w:p>
      <w:pPr>
        <w:pStyle w:val="Normal"/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>
        <w:rPr>
          <w:b/>
          <w:color w:val="auto"/>
          <w:sz w:val="20"/>
          <w:szCs w:val="20"/>
        </w:rPr>
        <w:t>Diagnoza psychologiczna</w:t>
      </w:r>
    </w:p>
    <w:p>
      <w:pPr>
        <w:pStyle w:val="Normal"/>
        <w:spacing w:lineRule="auto" w:line="269" w:before="0" w:after="251"/>
        <w:ind w:hanging="10" w:start="438"/>
        <w:rPr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Psychological diagnosis</w:t>
      </w:r>
    </w:p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5" w:type="dxa"/>
          <w:bottom w:w="0" w:type="dxa"/>
          <w:end w:w="12" w:type="dxa"/>
        </w:tblCellMar>
        <w:tblLook w:val="04a0" w:firstRow="1" w:noVBand="1" w:lastRow="0" w:firstColumn="1" w:lastColumn="0" w:noHBand="0"/>
      </w:tblPr>
      <w:tblGrid>
        <w:gridCol w:w="4741"/>
        <w:gridCol w:w="5008"/>
      </w:tblGrid>
      <w:tr>
        <w:trPr>
          <w:trHeight w:val="346" w:hRule="atLeast"/>
        </w:trPr>
        <w:tc>
          <w:tcPr>
            <w:tcW w:w="4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Kierunek studiów 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Psychologia</w:t>
            </w:r>
          </w:p>
        </w:tc>
      </w:tr>
      <w:tr>
        <w:trPr>
          <w:trHeight w:val="305" w:hRule="atLeast"/>
        </w:trPr>
        <w:tc>
          <w:tcPr>
            <w:tcW w:w="4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studiów 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Stacjonarne/niestacjonarne</w:t>
            </w:r>
          </w:p>
        </w:tc>
      </w:tr>
      <w:tr>
        <w:trPr>
          <w:trHeight w:val="305" w:hRule="atLeast"/>
        </w:trPr>
        <w:tc>
          <w:tcPr>
            <w:tcW w:w="4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1.3.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Poziom studiów 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Jednolite magisterskie</w:t>
            </w:r>
          </w:p>
        </w:tc>
      </w:tr>
      <w:tr>
        <w:trPr>
          <w:trHeight w:val="305" w:hRule="atLeast"/>
        </w:trPr>
        <w:tc>
          <w:tcPr>
            <w:tcW w:w="4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1.4.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Profil studiów 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Ogólnoakademicki</w:t>
            </w:r>
          </w:p>
        </w:tc>
      </w:tr>
      <w:tr>
        <w:trPr>
          <w:trHeight w:val="305" w:hRule="atLeast"/>
        </w:trPr>
        <w:tc>
          <w:tcPr>
            <w:tcW w:w="4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1.5.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Osoba przygotowująca kartę przedmiotu (zajęć)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-19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 xml:space="preserve">     </w:t>
            </w:r>
            <w:r>
              <w:rPr>
                <w:kern w:val="2"/>
                <w:szCs w:val="22"/>
                <w:lang w:val="pl-PL" w:eastAsia="pl-PL" w:bidi="ar-SA"/>
              </w:rPr>
              <w:t>dr Anna Czarnejko-Żolik</w:t>
            </w:r>
          </w:p>
        </w:tc>
      </w:tr>
      <w:tr>
        <w:trPr>
          <w:trHeight w:val="305" w:hRule="atLeast"/>
        </w:trPr>
        <w:tc>
          <w:tcPr>
            <w:tcW w:w="4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1.6.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Kontakt 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anna.czarnejko-zolik@ujk.edu.pl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135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3466"/>
        <w:gridCol w:w="6283"/>
      </w:tblGrid>
      <w:tr>
        <w:trPr>
          <w:trHeight w:val="305" w:hRule="atLeast"/>
        </w:trPr>
        <w:tc>
          <w:tcPr>
            <w:tcW w:w="3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Język wykładowy </w:t>
            </w:r>
          </w:p>
        </w:tc>
        <w:tc>
          <w:tcPr>
            <w:tcW w:w="6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6"/>
              <w:jc w:val="start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kern w:val="2"/>
                <w:sz w:val="20"/>
                <w:szCs w:val="20"/>
                <w:lang w:val="pl-PL" w:eastAsia="pl-PL" w:bidi="ar-SA"/>
              </w:rPr>
              <w:t xml:space="preserve">Polski </w:t>
            </w:r>
          </w:p>
        </w:tc>
      </w:tr>
      <w:tr>
        <w:trPr>
          <w:trHeight w:val="305" w:hRule="atLeast"/>
        </w:trPr>
        <w:tc>
          <w:tcPr>
            <w:tcW w:w="3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Wymagania wstępne </w:t>
            </w:r>
          </w:p>
        </w:tc>
        <w:tc>
          <w:tcPr>
            <w:tcW w:w="6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6"/>
              <w:jc w:val="start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 xml:space="preserve">Znajomość podstawowych zagadnień z zakresu psychologii procesów poznawczych, komunikacji interpersonalnej, psychologii rozwoju, psychologii społecznej, psychologii emocji i motywacji, psychologii klinicznej 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110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3464"/>
        <w:gridCol w:w="6285"/>
      </w:tblGrid>
      <w:tr>
        <w:trPr>
          <w:trHeight w:val="600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zajęć </w:t>
            </w:r>
          </w:p>
        </w:tc>
        <w:tc>
          <w:tcPr>
            <w:tcW w:w="6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Cs w:val="22"/>
              </w:rPr>
            </w:pPr>
            <w:r>
              <w:rPr>
                <w:color w:val="auto"/>
                <w:kern w:val="2"/>
                <w:szCs w:val="22"/>
                <w:lang w:val="pl-PL" w:eastAsia="pl-PL" w:bidi="ar-SA"/>
              </w:rPr>
              <w:t>Wykład, ćwiczenia</w:t>
            </w:r>
          </w:p>
        </w:tc>
      </w:tr>
      <w:tr>
        <w:trPr>
          <w:trHeight w:val="305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Miejsce realizacji zajęć </w:t>
            </w:r>
          </w:p>
        </w:tc>
        <w:tc>
          <w:tcPr>
            <w:tcW w:w="6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 xml:space="preserve">Pomieszczenia dydaktyczne UJK </w:t>
            </w:r>
          </w:p>
        </w:tc>
      </w:tr>
      <w:tr>
        <w:trPr>
          <w:trHeight w:val="305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3.3.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zaliczenia zajęć </w:t>
            </w:r>
          </w:p>
        </w:tc>
        <w:tc>
          <w:tcPr>
            <w:tcW w:w="6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Egzamin (w), Zaliczenie z oceną (ćw)</w:t>
            </w:r>
          </w:p>
        </w:tc>
      </w:tr>
      <w:tr>
        <w:trPr>
          <w:trHeight w:val="305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3.4.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Metody dydaktyczne </w:t>
            </w:r>
          </w:p>
        </w:tc>
        <w:tc>
          <w:tcPr>
            <w:tcW w:w="6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Wykład: Wykład informacyjny. Wykład problemowy.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Ćwiczenia: Metody problemowe (analiza przypadków, metoda sytuacyjna) i praktyczne (ćwiczenia przedmiotowe, pokaz z opisem). Dyskusja wielokrotna (grupowa). Dyskusja – burza mózgów. Metoda inscenizacji.</w:t>
            </w:r>
          </w:p>
        </w:tc>
      </w:tr>
      <w:tr>
        <w:trPr>
          <w:trHeight w:val="305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3.5.a. Wykaz literatury podstawowej </w:t>
            </w:r>
          </w:p>
        </w:tc>
        <w:tc>
          <w:tcPr>
            <w:tcW w:w="6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start="313"/>
              <w:contextualSpacing/>
              <w:jc w:val="both"/>
              <w:rPr>
                <w:rFonts w:ascii="Calibri" w:hAnsi="Calibri" w:cs="Calibri"/>
                <w:color w:themeColor="text1" w:val="000000"/>
                <w:sz w:val="22"/>
                <w:szCs w:val="22"/>
                <w:lang w:val="pl-PL"/>
              </w:rPr>
            </w:pP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val="pl-PL" w:eastAsia="pl-PL" w:bidi="ar-SA"/>
              </w:rPr>
              <w:t>Cierpiałkowska, L., Sęk, H. (red.). (2016). Psychologiczna diagnoza kliniczna (cz. 3). W: L. Cierpiałkowska i H. Sęk (red.),</w:t>
            </w:r>
            <w:r>
              <w:rPr>
                <w:rFonts w:cs="Calibri" w:ascii="Calibri" w:hAnsi="Calibri"/>
                <w:i/>
                <w:iCs/>
                <w:color w:themeColor="text1" w:val="000000"/>
                <w:sz w:val="22"/>
                <w:szCs w:val="22"/>
                <w:lang w:val="pl-PL" w:eastAsia="pl-PL" w:bidi="ar-SA"/>
              </w:rPr>
              <w:t xml:space="preserve"> Psychologia kliniczna</w:t>
            </w:r>
            <w:r>
              <w:rPr>
                <w:rFonts w:cs="Calibri" w:ascii="Calibri" w:hAnsi="Calibri"/>
                <w:i w:val="false"/>
                <w:iCs w:val="false"/>
                <w:color w:themeColor="text1" w:val="000000"/>
                <w:sz w:val="22"/>
                <w:szCs w:val="22"/>
                <w:lang w:val="pl-PL" w:eastAsia="pl-PL" w:bidi="ar-SA"/>
              </w:rPr>
              <w:t xml:space="preserve"> (197-278). PWN. 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start="313"/>
              <w:contextualSpacing/>
              <w:jc w:val="both"/>
              <w:rPr>
                <w:sz w:val="22"/>
                <w:szCs w:val="22"/>
                <w:lang w:eastAsia="pl-PL" w:bidi="ar-SA"/>
              </w:rPr>
            </w:pP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val="pl-PL" w:eastAsia="pl-PL" w:bidi="ar-SA"/>
              </w:rPr>
              <w:t>Paluchowski, W. J. (2007).</w:t>
            </w:r>
            <w:r>
              <w:rPr>
                <w:rFonts w:cs="Calibri" w:ascii="Calibri" w:hAnsi="Calibri"/>
                <w:i/>
                <w:iCs/>
                <w:color w:themeColor="text1" w:val="000000"/>
                <w:sz w:val="22"/>
                <w:szCs w:val="22"/>
                <w:lang w:val="pl-PL" w:eastAsia="pl-PL" w:bidi="ar-SA"/>
              </w:rPr>
              <w:t xml:space="preserve"> Diagnoza psychologiczna: Proces, narzędzia, standardy.</w:t>
            </w:r>
            <w:r>
              <w:rPr>
                <w:rFonts w:cs="Calibri" w:ascii="Calibri" w:hAnsi="Calibri"/>
                <w:i w:val="false"/>
                <w:iCs w:val="false"/>
                <w:color w:themeColor="text1" w:val="000000"/>
                <w:sz w:val="22"/>
                <w:szCs w:val="22"/>
                <w:lang w:val="pl-PL" w:eastAsia="pl-PL" w:bidi="ar-SA"/>
              </w:rPr>
              <w:t xml:space="preserve"> WAiP. </w:t>
            </w:r>
            <w:r>
              <w:rPr>
                <w:rFonts w:cs="Calibri" w:ascii="Calibri" w:hAnsi="Calibri"/>
                <w:i/>
                <w:iCs/>
                <w:color w:themeColor="text1" w:val="000000"/>
                <w:sz w:val="22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start="313"/>
              <w:contextualSpacing/>
              <w:jc w:val="both"/>
              <w:rPr>
                <w:sz w:val="22"/>
                <w:szCs w:val="22"/>
                <w:lang w:eastAsia="pl-PL" w:bidi="ar-SA"/>
              </w:rPr>
            </w:pP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val="pl-PL" w:eastAsia="pl-PL" w:bidi="ar-SA"/>
              </w:rPr>
              <w:t xml:space="preserve">Stemplewska-Żakowicz, K. (2020). Diagnoza psychologiczna. Diagnozowanie jako kompetencja profesjonalna. GWP.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start="313"/>
              <w:contextualSpacing/>
              <w:jc w:val="both"/>
              <w:rPr>
                <w:rFonts w:ascii="Calibri" w:hAnsi="Calibri" w:cs="Calibri"/>
                <w:i w:val="false"/>
                <w:iCs w:val="false"/>
                <w:color w:themeColor="text1"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eastAsia="pl-PL" w:bidi="ar-SA"/>
              </w:rPr>
              <w:t xml:space="preserve">Stemplewska-Żakowicz, K., Krejtz, K. (red.). (2013). </w:t>
            </w:r>
            <w:r>
              <w:rPr>
                <w:rFonts w:cs="Calibri" w:ascii="Calibri" w:hAnsi="Calibri"/>
                <w:i/>
                <w:iCs/>
                <w:color w:themeColor="text1" w:val="000000"/>
                <w:sz w:val="22"/>
                <w:szCs w:val="22"/>
                <w:lang w:eastAsia="pl-PL" w:bidi="ar-SA"/>
              </w:rPr>
              <w:t xml:space="preserve">Wywiad psychologiczny: T. 1. Wywiad jako postępowanie badawcze. </w:t>
            </w:r>
            <w:r>
              <w:rPr>
                <w:rFonts w:cs="Calibri" w:ascii="Calibri" w:hAnsi="Calibri"/>
                <w:i w:val="false"/>
                <w:iCs w:val="false"/>
                <w:color w:themeColor="text1" w:val="000000"/>
                <w:sz w:val="22"/>
                <w:szCs w:val="22"/>
                <w:lang w:eastAsia="pl-PL" w:bidi="ar-SA"/>
              </w:rPr>
              <w:t>PTP.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hanging="360" w:start="313"/>
              <w:jc w:val="both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 xml:space="preserve">WHO. (b.d.). </w:t>
            </w:r>
            <w:r>
              <w:rPr>
                <w:i/>
                <w:iCs/>
                <w:kern w:val="2"/>
                <w:szCs w:val="22"/>
                <w:lang w:val="pl-PL" w:eastAsia="pl-PL" w:bidi="ar-SA"/>
              </w:rPr>
              <w:t>International classification of diseases 11th revision</w:t>
            </w:r>
            <w:r>
              <w:rPr>
                <w:kern w:val="2"/>
                <w:szCs w:val="22"/>
                <w:lang w:val="pl-PL" w:eastAsia="pl-PL" w:bidi="ar-SA"/>
              </w:rPr>
              <w:t xml:space="preserve">. Pobrane 13 lutego 2024 z: </w:t>
            </w:r>
            <w:hyperlink r:id="rId2">
              <w:r>
                <w:rPr>
                  <w:rStyle w:val="Hyperlink"/>
                  <w:kern w:val="2"/>
                  <w:szCs w:val="22"/>
                  <w:lang w:val="pl-PL" w:eastAsia="pl-PL" w:bidi="ar-SA"/>
                </w:rPr>
                <w:t>https://icd.who.int/en</w:t>
              </w:r>
            </w:hyperlink>
            <w:r>
              <w:rPr>
                <w:kern w:val="2"/>
                <w:szCs w:val="22"/>
                <w:lang w:val="pl-PL" w:eastAsia="pl-PL" w:bidi="ar-SA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3.5.b. Wykaz literatury uzupełniającej </w:t>
            </w:r>
          </w:p>
        </w:tc>
        <w:tc>
          <w:tcPr>
            <w:tcW w:w="6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360" w:start="308"/>
              <w:contextualSpacing/>
              <w:jc w:val="both"/>
              <w:rPr>
                <w:rFonts w:ascii="Calibri" w:hAnsi="Calibri" w:cs="Calibri"/>
                <w:i w:val="false"/>
                <w:iCs w:val="false"/>
                <w:color w:themeColor="text1"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eastAsia="pl-PL" w:bidi="ar-SA"/>
              </w:rPr>
              <w:t xml:space="preserve">Morisson, J., Flegel, K. (2018). </w:t>
            </w:r>
            <w:r>
              <w:rPr>
                <w:rFonts w:cs="Calibri" w:ascii="Calibri" w:hAnsi="Calibri"/>
                <w:i/>
                <w:iCs/>
                <w:color w:themeColor="text1" w:val="000000"/>
                <w:sz w:val="22"/>
                <w:szCs w:val="22"/>
                <w:lang w:eastAsia="pl-PL" w:bidi="ar-SA"/>
              </w:rPr>
              <w:t xml:space="preserve">Wywiad diagnostyczny z dziećmi </w:t>
              <w:br/>
              <w:t xml:space="preserve">i młodzieżą: Rozpoznanie zgodne z DSM-5. </w:t>
            </w:r>
            <w:r>
              <w:rPr>
                <w:rFonts w:cs="Calibri" w:ascii="Calibri" w:hAnsi="Calibri"/>
                <w:i w:val="false"/>
                <w:iCs w:val="false"/>
                <w:color w:themeColor="text1" w:val="000000"/>
                <w:sz w:val="22"/>
                <w:szCs w:val="22"/>
                <w:lang w:eastAsia="pl-PL" w:bidi="ar-SA"/>
              </w:rPr>
              <w:t>UJ.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360" w:start="308"/>
              <w:contextualSpacing/>
              <w:jc w:val="both"/>
              <w:rPr>
                <w:rFonts w:ascii="Calibri" w:hAnsi="Calibri" w:cs="Calibri"/>
                <w:color w:themeColor="text1"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eastAsia="pl-PL" w:bidi="ar-SA"/>
              </w:rPr>
              <w:t>American Psychiatric Association (1994).</w:t>
            </w:r>
            <w:r>
              <w:rPr>
                <w:rFonts w:cs="Calibri" w:ascii="Calibri" w:hAnsi="Calibri"/>
                <w:i/>
                <w:iCs/>
                <w:color w:themeColor="text1" w:val="000000"/>
                <w:sz w:val="22"/>
                <w:szCs w:val="22"/>
                <w:lang w:eastAsia="pl-PL" w:bidi="ar-SA"/>
              </w:rPr>
              <w:t xml:space="preserve"> Diagnostic and statistical manual of mental disorders</w:t>
            </w:r>
            <w:r>
              <w:rPr>
                <w:rFonts w:cs="Calibri" w:ascii="Calibri" w:hAnsi="Calibri"/>
                <w:i w:val="false"/>
                <w:iCs w:val="false"/>
                <w:color w:themeColor="text1" w:val="000000"/>
                <w:sz w:val="22"/>
                <w:szCs w:val="22"/>
                <w:lang w:eastAsia="pl-PL" w:bidi="ar-SA"/>
              </w:rPr>
              <w:t xml:space="preserve"> (wyd. 4). 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360" w:start="308"/>
              <w:contextualSpacing/>
              <w:jc w:val="both"/>
              <w:rPr>
                <w:i w:val="false"/>
                <w:iCs w:val="false"/>
                <w:color w:themeColor="text1"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eastAsia="pl-PL" w:bidi="ar-SA"/>
              </w:rPr>
              <w:t xml:space="preserve">Filipiak, M., Paluchowski, W. J., Zalewski, B., Tarnowska, M. (red.). (2015). </w:t>
            </w:r>
            <w:r>
              <w:rPr>
                <w:rFonts w:cs="Calibri" w:ascii="Calibri" w:hAnsi="Calibri"/>
                <w:i/>
                <w:iCs/>
                <w:color w:themeColor="text1" w:val="000000"/>
                <w:sz w:val="22"/>
                <w:szCs w:val="22"/>
                <w:lang w:eastAsia="pl-PL" w:bidi="ar-SA"/>
              </w:rPr>
              <w:t xml:space="preserve">Diagnoza psychologiczna: Kompetencje i standardy, wybrane zagadnienia. </w:t>
            </w:r>
            <w:r>
              <w:rPr>
                <w:rFonts w:cs="Calibri" w:ascii="Calibri" w:hAnsi="Calibri"/>
                <w:i w:val="false"/>
                <w:iCs w:val="false"/>
                <w:color w:themeColor="text1" w:val="000000"/>
                <w:sz w:val="22"/>
                <w:szCs w:val="22"/>
                <w:lang w:eastAsia="pl-PL" w:bidi="ar-SA"/>
              </w:rPr>
              <w:t>PTP.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133"/>
        <w:ind w:hanging="360" w:start="850"/>
        <w:rPr/>
      </w:pPr>
      <w:r>
        <w:rPr>
          <w:b/>
          <w:sz w:val="24"/>
        </w:rPr>
        <w:t xml:space="preserve">Cele, treści i efekty uczenia się </w:t>
      </w:r>
    </w:p>
    <w:p>
      <w:pPr>
        <w:pStyle w:val="Normal"/>
        <w:numPr>
          <w:ilvl w:val="1"/>
          <w:numId w:val="1"/>
        </w:numPr>
        <w:spacing w:lineRule="auto" w:line="269" w:before="0" w:after="0"/>
        <w:ind w:hanging="566" w:start="1118"/>
        <w:rPr/>
      </w:pPr>
      <w:r>
        <w:rPr>
          <w:b/>
          <w:sz w:val="24"/>
        </w:rPr>
        <w:t xml:space="preserve">Cele przedmiotu (zajęć) (z uwzględnieniem formy zajęć) </w:t>
      </w:r>
    </w:p>
    <w:p>
      <w:pPr>
        <w:pStyle w:val="ListParagraph"/>
        <w:spacing w:before="0" w:after="23"/>
        <w:contextualSpacing/>
        <w:rPr>
          <w:rFonts w:ascii="Calibri" w:hAnsi="Calibri" w:eastAsia="Calibri" w:cs="Calibri"/>
          <w:b/>
          <w:kern w:val="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lang w:val="pl-PL"/>
          <w14:ligatures w14:val="standardContextual"/>
        </w:rPr>
      </w:r>
    </w:p>
    <w:p>
      <w:pPr>
        <w:pStyle w:val="ListParagraph"/>
        <w:spacing w:before="0" w:after="23"/>
        <w:contextualSpacing/>
        <w:rPr>
          <w:rFonts w:ascii="Calibri" w:hAnsi="Calibri" w:eastAsia="Calibri" w:cs="Calibri"/>
          <w:b/>
          <w:kern w:val="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lang w:val="pl-PL"/>
          <w14:ligatures w14:val="standardContextual"/>
        </w:rPr>
        <w:t xml:space="preserve">Wykłady </w:t>
      </w:r>
    </w:p>
    <w:p>
      <w:pPr>
        <w:pStyle w:val="ListParagraph"/>
        <w:numPr>
          <w:ilvl w:val="0"/>
          <w:numId w:val="4"/>
        </w:numPr>
        <w:spacing w:before="0" w:after="23"/>
        <w:contextualSpacing/>
        <w:jc w:val="both"/>
        <w:rPr>
          <w:rFonts w:ascii="Calibri" w:hAnsi="Calibri" w:eastAsia="Calibri" w:cs="Calibri"/>
          <w:b/>
          <w:kern w:val="2"/>
          <w:sz w:val="22"/>
          <w:szCs w:val="22"/>
          <w:lang w:val="pl-PL"/>
          <w14:ligatures w14:val="standardContextual"/>
        </w:rPr>
      </w:pPr>
      <w:r>
        <w:rPr>
          <w:rFonts w:eastAsia="Calibri" w:cs="Calibri" w:ascii="Calibri" w:hAnsi="Calibri"/>
          <w:b/>
          <w:bCs/>
          <w:kern w:val="2"/>
          <w:sz w:val="22"/>
          <w:szCs w:val="22"/>
          <w:lang w:val="pl-PL"/>
          <w14:ligatures w14:val="standardContextual"/>
        </w:rPr>
        <w:t>C1</w:t>
      </w:r>
      <w:r>
        <w:rPr>
          <w:rFonts w:eastAsia="Calibri" w:cs="Calibri" w:ascii="Calibri" w:hAnsi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  <w:t>. Z</w:t>
      </w:r>
      <w:r>
        <w:rPr>
          <w:rFonts w:eastAsia="Calibri" w:cs="Times New Roman" w:ascii="Calibri" w:hAnsi="Calibri"/>
          <w:b w:val="false"/>
          <w:bCs w:val="false"/>
          <w:color w:val="auto"/>
          <w:kern w:val="2"/>
          <w:sz w:val="22"/>
          <w:szCs w:val="22"/>
          <w:lang w:val="pl-PL" w:eastAsia="en-US"/>
        </w:rPr>
        <w:t>apoznanie studentów z podstawowymi pojęciami z zakresu diagnozy psychologicznej oraz podstawowymi rodzajami standaryzowanych i niestandaryzowanych technik diagnostycznych.</w:t>
      </w:r>
      <w:r>
        <w:rPr>
          <w:rFonts w:eastAsia="Calibri" w:cs="Calibri" w:ascii="Calibri" w:hAnsi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>
      <w:pPr>
        <w:pStyle w:val="ListParagraph"/>
        <w:numPr>
          <w:ilvl w:val="0"/>
          <w:numId w:val="4"/>
        </w:numPr>
        <w:spacing w:before="0" w:after="23"/>
        <w:contextualSpacing/>
        <w:jc w:val="both"/>
        <w:rPr>
          <w:rFonts w:ascii="Calibri" w:hAnsi="Calibri" w:eastAsia="Calibri" w:cs="Calibri"/>
          <w:b/>
          <w:kern w:val="2"/>
          <w:sz w:val="22"/>
          <w:szCs w:val="2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>
        <w:rPr>
          <w:rFonts w:eastAsia="Calibri" w:cs="Calibri" w:ascii="Calibri" w:hAnsi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  <w:t>D</w:t>
      </w:r>
      <w:r>
        <w:rPr>
          <w:rFonts w:eastAsia="Calibri" w:cs="Times New Roman" w:ascii="Calibri" w:hAnsi="Calibri"/>
          <w:b w:val="false"/>
          <w:bCs w:val="false"/>
          <w:color w:val="auto"/>
          <w:kern w:val="2"/>
          <w:sz w:val="22"/>
          <w:szCs w:val="22"/>
          <w:lang w:val="pl-PL" w:eastAsia="en-US"/>
        </w:rPr>
        <w:t>ostarczenie studentom aktualnej wiedzy niezbędnej w procesie podejmowania profesjonalnego diagnozowania psychologicznego.</w:t>
      </w:r>
    </w:p>
    <w:p>
      <w:pPr>
        <w:pStyle w:val="ListParagraph"/>
        <w:spacing w:before="0" w:after="23"/>
        <w:contextualSpacing/>
        <w:rPr>
          <w:rFonts w:ascii="Calibri" w:hAnsi="Calibri" w:eastAsia="Calibri" w:cs="Calibri"/>
          <w:b/>
          <w:kern w:val="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lang w:val="pl-PL"/>
          <w14:ligatures w14:val="standardContextual"/>
        </w:rPr>
      </w:r>
    </w:p>
    <w:p>
      <w:pPr>
        <w:pStyle w:val="ListParagraph"/>
        <w:spacing w:before="0" w:after="23"/>
        <w:contextualSpacing/>
        <w:rPr>
          <w:rFonts w:ascii="Calibri" w:hAnsi="Calibri" w:eastAsia="Calibri" w:cs="Calibri"/>
          <w:b/>
          <w:kern w:val="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lang w:val="pl-PL"/>
          <w14:ligatures w14:val="standardContextual"/>
        </w:rPr>
        <w:t xml:space="preserve">Ćwiczenia </w:t>
      </w:r>
    </w:p>
    <w:p>
      <w:pPr>
        <w:pStyle w:val="ListParagraph"/>
        <w:numPr>
          <w:ilvl w:val="0"/>
          <w:numId w:val="5"/>
        </w:numPr>
        <w:spacing w:before="0" w:after="23"/>
        <w:contextualSpacing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eastAsia="Calibri" w:cs="Calibri" w:ascii="Calibri" w:hAnsi="Calibri"/>
          <w:b/>
          <w:bCs/>
          <w:kern w:val="2"/>
          <w:sz w:val="22"/>
          <w:szCs w:val="22"/>
          <w:lang w:val="pl-PL"/>
          <w14:ligatures w14:val="standardContextual"/>
        </w:rPr>
        <w:t>C1.</w:t>
      </w:r>
      <w:r>
        <w:rPr>
          <w:rFonts w:eastAsia="Calibri" w:cs="Calibri" w:ascii="Calibri" w:hAnsi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  <w:t xml:space="preserve"> Na</w:t>
      </w:r>
      <w:r>
        <w:rPr>
          <w:rFonts w:eastAsia="Calibri" w:cs="Times New Roman" w:ascii="Calibri" w:hAnsi="Calibri"/>
          <w:b w:val="false"/>
          <w:bCs w:val="false"/>
          <w:color w:val="auto"/>
          <w:kern w:val="2"/>
          <w:sz w:val="22"/>
          <w:szCs w:val="22"/>
          <w:lang w:val="pl-PL" w:eastAsia="en-US"/>
        </w:rPr>
        <w:t>bycie przez studentów elementarnej umiejętności stosowania i interpretowania wybranych narzędzi psychometrycznych.</w:t>
      </w:r>
    </w:p>
    <w:p>
      <w:pPr>
        <w:pStyle w:val="ListParagraph"/>
        <w:numPr>
          <w:ilvl w:val="0"/>
          <w:numId w:val="5"/>
        </w:numPr>
        <w:spacing w:before="0" w:after="23"/>
        <w:contextualSpacing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eastAsia="Calibri" w:cs="Calibri" w:ascii="Calibri" w:hAnsi="Calibri"/>
          <w:b/>
          <w:bCs/>
          <w:kern w:val="2"/>
          <w:sz w:val="22"/>
          <w:szCs w:val="22"/>
          <w:lang w:val="pl-PL"/>
          <w14:ligatures w14:val="standardContextual"/>
        </w:rPr>
        <w:t>C2.</w:t>
      </w:r>
      <w:r>
        <w:rPr>
          <w:rFonts w:eastAsia="Calibri" w:cs="Calibri" w:ascii="Calibri" w:hAnsi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  <w:t xml:space="preserve"> K</w:t>
      </w:r>
      <w:r>
        <w:rPr>
          <w:rFonts w:eastAsia="Calibri" w:cs="Times New Roman" w:ascii="Calibri" w:hAnsi="Calibri"/>
          <w:b w:val="false"/>
          <w:bCs w:val="false"/>
          <w:color w:val="auto"/>
          <w:kern w:val="2"/>
          <w:sz w:val="22"/>
          <w:szCs w:val="22"/>
          <w:lang w:val="pl-PL" w:eastAsia="en-US"/>
        </w:rPr>
        <w:t>ształtowanie wśród studentów postawy otwartości wobec osób badanych oraz uwrażliwienie na indywidualne różnice w dynamice zjawisk psychicznych – w oparciu o przykłady.</w:t>
      </w:r>
    </w:p>
    <w:p>
      <w:pPr>
        <w:pStyle w:val="ListParagraph"/>
        <w:spacing w:before="0" w:after="23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1"/>
          <w:numId w:val="1"/>
        </w:numPr>
        <w:spacing w:lineRule="auto" w:line="269" w:before="0" w:after="134"/>
        <w:ind w:hanging="566" w:start="1118"/>
        <w:rPr/>
      </w:pPr>
      <w:r>
        <w:rPr>
          <w:b/>
          <w:sz w:val="24"/>
        </w:rPr>
        <w:t xml:space="preserve">Treści programowe (z uwzględnieniem formy zajęć) </w:t>
      </w:r>
    </w:p>
    <w:p>
      <w:pPr>
        <w:pStyle w:val="Normal"/>
        <w:spacing w:lineRule="auto" w:line="269" w:before="0" w:after="0"/>
        <w:ind w:hanging="10" w:start="562"/>
        <w:rPr>
          <w:b/>
          <w:sz w:val="24"/>
        </w:rPr>
      </w:pPr>
      <w:r>
        <w:rPr>
          <w:b/>
          <w:sz w:val="24"/>
        </w:rPr>
        <w:t xml:space="preserve">Wykłady 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rFonts w:cs="Times New Roman"/>
          <w:sz w:val="22"/>
          <w:szCs w:val="22"/>
        </w:rPr>
        <w:t xml:space="preserve">Zapoznanie z kartą przedmiotu i warunkami zaliczenia. </w:t>
      </w:r>
      <w:r>
        <w:rPr>
          <w:rFonts w:cs="Times New Roman"/>
          <w:color w:val="auto"/>
          <w:sz w:val="22"/>
          <w:szCs w:val="22"/>
          <w:lang w:eastAsia="en-US"/>
        </w:rPr>
        <w:t>Podstawowe pojęcia z zakresu diagnozy psychologicznej.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rPr>
          <w:rFonts w:cs="Times New Roman"/>
          <w:color w:val="auto"/>
          <w:sz w:val="22"/>
          <w:szCs w:val="22"/>
          <w:lang w:eastAsia="en-US"/>
        </w:rPr>
        <w:t>2. Standardy etyczne niezbędne w procesie realizacji diagnozy psychologicznej.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rPr>
          <w:rFonts w:cs="Times New Roman"/>
          <w:color w:val="auto"/>
          <w:sz w:val="22"/>
          <w:szCs w:val="22"/>
          <w:lang w:eastAsia="en-US"/>
        </w:rPr>
        <w:t>3. Status orzeczeń i opinii psychologicznych.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rPr>
          <w:rFonts w:cs="Times New Roman"/>
          <w:color w:val="auto"/>
          <w:sz w:val="22"/>
          <w:szCs w:val="22"/>
          <w:lang w:eastAsia="en-US"/>
        </w:rPr>
        <w:t>4. Psychologiczna diagnoza różnicowa, funkcjonalna. Proces diagnozowania, profesjonalne kompetencje psychologa.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rPr>
          <w:rFonts w:cs="Times New Roman"/>
          <w:color w:val="auto"/>
          <w:sz w:val="22"/>
          <w:szCs w:val="22"/>
          <w:lang w:eastAsia="en-US"/>
        </w:rPr>
        <w:t>5. Charakterystyka postępowanie diagnostycznego. Model diagnozowania wg. Paluchowskiego. Struktura procesu diagnozowania.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rPr>
          <w:rFonts w:cs="Times New Roman"/>
          <w:color w:val="auto"/>
          <w:sz w:val="22"/>
          <w:szCs w:val="22"/>
          <w:lang w:eastAsia="en-US"/>
        </w:rPr>
        <w:t>6. Wywiad i jego rodzaje w diagnozie psychologicznej.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rPr>
          <w:rFonts w:cs="Times New Roman"/>
          <w:color w:val="auto"/>
          <w:sz w:val="22"/>
          <w:szCs w:val="22"/>
          <w:lang w:eastAsia="en-US"/>
        </w:rPr>
        <w:t>7. Obserwacja w diagnozie psychologicznej.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color w:val="auto"/>
          <w:sz w:val="22"/>
          <w:szCs w:val="22"/>
          <w:lang w:eastAsia="en-US"/>
        </w:rPr>
        <w:t>8. Rodzaje diagnoz. Rola psychologa w procesie diagnostycznym. Etapy postępowania diagnostycznego – formułowanie problemów, hipotez, ich weryfikacja, wyniki, komunikowanie wyników diagnozy psychologicznej.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color w:val="auto"/>
          <w:sz w:val="22"/>
          <w:szCs w:val="22"/>
          <w:lang w:eastAsia="en-US"/>
        </w:rPr>
        <w:t>9. Podstawowe sposoby pomiaru właściwości psychicznych. Główne rodzaje standaryzowanych</w:t>
        <w:br/>
        <w:t>i niestandaryzowanych technik diagnostycznych.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rPr>
          <w:rFonts w:cs="Times New Roman"/>
          <w:color w:val="auto"/>
          <w:sz w:val="22"/>
          <w:szCs w:val="22"/>
          <w:lang w:eastAsia="en-US"/>
        </w:rPr>
        <w:t>10. Psychologiczna diagnoza inteligencji.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rPr>
          <w:rFonts w:cs="Times New Roman"/>
          <w:color w:val="auto"/>
          <w:sz w:val="22"/>
          <w:szCs w:val="22"/>
          <w:lang w:eastAsia="en-US"/>
        </w:rPr>
        <w:t>11. Analizowanie zasad konstrukcji narzędzi diagnostycznych i posługiwanie się podręcznikami do testów.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rPr>
          <w:rFonts w:cs="Times New Roman"/>
          <w:color w:val="auto"/>
          <w:sz w:val="22"/>
          <w:szCs w:val="22"/>
          <w:lang w:eastAsia="en-US"/>
        </w:rPr>
        <w:t>12. Rzetelność i trafność testów, sposoby wyznaczania odpowiednich współczynników. Przedziały ufności dla wyników otrzymanych w teście psychologicznym, wyniki znormalizowane i ich interpretacja.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rPr>
          <w:rFonts w:cs="Times New Roman"/>
          <w:color w:val="auto"/>
          <w:sz w:val="22"/>
          <w:szCs w:val="22"/>
          <w:lang w:eastAsia="en-US"/>
        </w:rPr>
        <w:t>13. Nawiązanie kontaktu z osobą badaną w sytuacji diagnozy psychologicznej i techniki konwersacyjne wykorzystywane w wywiadzie psychologicznym. Podejście fenomenologiczne w diagnozie psychologicznej.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color w:val="auto"/>
          <w:sz w:val="22"/>
          <w:szCs w:val="22"/>
          <w:lang w:eastAsia="en-US"/>
        </w:rPr>
        <w:t>14. Metody kwestionariuszowe – klasyfikacja. Testy projekcyjne w diagnozie psychologicznej. Stanowisko Komisji ds. Testów Psychologicznych Komitetu Psychologii PAN w sprawie kryteriów wiarygodności wyników badań diagnostycznych.</w:t>
      </w:r>
    </w:p>
    <w:p>
      <w:pPr>
        <w:pStyle w:val="Normal"/>
        <w:spacing w:lineRule="auto" w:line="240" w:before="0" w:after="0"/>
        <w:ind w:hanging="10" w:start="562"/>
        <w:jc w:val="both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rPr>
          <w:rFonts w:cs="Times New Roman"/>
          <w:color w:val="auto"/>
          <w:sz w:val="22"/>
          <w:szCs w:val="22"/>
          <w:lang w:eastAsia="en-US"/>
        </w:rPr>
        <w:t>15. Przedstawienie wyników diagnozy testowej – informacja zwrotna z badania testem psychologicznym. Najczęstsze błędy w diagnozie psychologicznej.</w:t>
      </w:r>
    </w:p>
    <w:p>
      <w:pPr>
        <w:pStyle w:val="Normal"/>
        <w:spacing w:before="0" w:after="22"/>
        <w:ind w:hanging="10" w:start="703"/>
        <w:rPr>
          <w:sz w:val="24"/>
        </w:rPr>
      </w:pPr>
      <w:r>
        <w:rPr>
          <w:sz w:val="24"/>
        </w:rPr>
      </w:r>
    </w:p>
    <w:p>
      <w:pPr>
        <w:pStyle w:val="Normal"/>
        <w:spacing w:before="0" w:after="22"/>
        <w:ind w:hanging="10" w:start="703"/>
        <w:rPr>
          <w:sz w:val="24"/>
        </w:rPr>
      </w:pP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  <w:t>1.</w:t>
      </w:r>
      <w:r>
        <w:rPr>
          <w:rFonts w:eastAsia="Arial"/>
          <w:szCs w:val="22"/>
        </w:rPr>
        <w:t xml:space="preserve"> nie dotyczy</w:t>
      </w:r>
      <w:r>
        <w:rPr>
          <w:szCs w:val="22"/>
        </w:rPr>
        <w:t xml:space="preserve"> </w:t>
      </w:r>
    </w:p>
    <w:p>
      <w:pPr>
        <w:pStyle w:val="Normal"/>
        <w:spacing w:lineRule="auto" w:line="269" w:before="0" w:after="0"/>
        <w:ind w:hanging="10" w:start="562"/>
        <w:rPr/>
      </w:pPr>
      <w:r>
        <w:rPr/>
      </w:r>
    </w:p>
    <w:p>
      <w:pPr>
        <w:pStyle w:val="Normal"/>
        <w:spacing w:lineRule="auto" w:line="269" w:before="0" w:after="0"/>
        <w:ind w:hanging="10" w:start="562"/>
        <w:rPr>
          <w:b/>
          <w:sz w:val="24"/>
        </w:rPr>
      </w:pPr>
      <w:r>
        <w:rPr>
          <w:b/>
          <w:sz w:val="24"/>
        </w:rPr>
        <w:t xml:space="preserve">Ćwiczenia 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>
          <w:rFonts w:cs="Calibri"/>
          <w:b w:val="false"/>
          <w:bCs w:val="false"/>
          <w:sz w:val="22"/>
          <w:szCs w:val="22"/>
        </w:rPr>
        <w:t>1. Zapoznanie</w:t>
      </w:r>
      <w:r>
        <w:rPr>
          <w:rFonts w:cs="Calibri"/>
          <w:sz w:val="22"/>
          <w:szCs w:val="22"/>
        </w:rPr>
        <w:t xml:space="preserve"> z kartą </w:t>
      </w:r>
      <w:r>
        <w:rPr>
          <w:rFonts w:cs="Times New Roman"/>
          <w:color w:val="auto"/>
          <w:sz w:val="22"/>
          <w:szCs w:val="22"/>
          <w:lang w:eastAsia="en-US"/>
        </w:rPr>
        <w:t xml:space="preserve"> </w:t>
      </w:r>
      <w:r>
        <w:rPr>
          <w:rFonts w:cs="Times New Roman"/>
          <w:sz w:val="22"/>
          <w:szCs w:val="22"/>
        </w:rPr>
        <w:t xml:space="preserve">Zapoznanie z kartą przedmiotu i warunkami zaliczenia. </w:t>
      </w:r>
      <w:r>
        <w:rPr>
          <w:rFonts w:cs="Times New Roman"/>
          <w:color w:val="auto"/>
          <w:sz w:val="22"/>
          <w:szCs w:val="22"/>
          <w:lang w:eastAsia="en-US"/>
        </w:rPr>
        <w:t>Funkcje psychiczne jako główny przedmiot diagnozy psychologiczne.</w:t>
      </w:r>
    </w:p>
    <w:p>
      <w:pPr>
        <w:pStyle w:val="Normal"/>
        <w:spacing w:lineRule="auto" w:line="269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color w:val="auto"/>
          <w:sz w:val="22"/>
          <w:szCs w:val="22"/>
          <w:lang w:eastAsia="en-US"/>
        </w:rPr>
        <w:t>2.</w:t>
      </w:r>
      <w:r>
        <w:rPr>
          <w:sz w:val="22"/>
          <w:szCs w:val="22"/>
        </w:rPr>
        <w:t xml:space="preserve"> Relacje jako przedmiot diagnozy psychologicznej.</w:t>
      </w:r>
    </w:p>
    <w:p>
      <w:pPr>
        <w:pStyle w:val="Normal"/>
        <w:spacing w:lineRule="auto" w:line="269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3. Zaburzenia psychiczne jako główny przedmiot psychologicznej diagnozy klinicznej. </w:t>
      </w:r>
    </w:p>
    <w:p>
      <w:pPr>
        <w:pStyle w:val="Normal"/>
        <w:spacing w:lineRule="auto" w:line="269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4. Diagnoza różnicowa (klasyfikacje ICD-11 i DSM-5). </w:t>
      </w:r>
    </w:p>
    <w:p>
      <w:pPr>
        <w:pStyle w:val="Normal"/>
        <w:spacing w:lineRule="auto" w:line="269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5. Diagnoza psychologicznych przyczyn i skutków zaburzeń psychicznych. </w:t>
      </w:r>
    </w:p>
    <w:p>
      <w:pPr>
        <w:pStyle w:val="Normal"/>
        <w:spacing w:lineRule="auto" w:line="269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6. Diagnoza na potrzeby terapii. </w:t>
      </w:r>
    </w:p>
    <w:p>
      <w:pPr>
        <w:pStyle w:val="Normal"/>
        <w:spacing w:lineRule="auto" w:line="269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7. Modele psychologicznej diagnozy klinicznej. Metody stosowane w psychologicznej diagnozie klinicznej. </w:t>
      </w:r>
    </w:p>
    <w:p>
      <w:pPr>
        <w:pStyle w:val="Normal"/>
        <w:spacing w:lineRule="auto" w:line="269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8. </w:t>
      </w:r>
      <w:r>
        <w:rPr>
          <w:rFonts w:cs="Times New Roman"/>
          <w:sz w:val="22"/>
          <w:szCs w:val="22"/>
          <w:lang w:eastAsia="en-US"/>
        </w:rPr>
        <w:t xml:space="preserve">Rola procesów spostrzegania społecznego w postępowaniu diagnostycznym. Asymetria w kontakcie diagnosta-osoba badana. </w:t>
      </w:r>
      <w:r>
        <w:rPr>
          <w:rFonts w:cs="Times New Roman"/>
          <w:sz w:val="22"/>
          <w:szCs w:val="22"/>
        </w:rPr>
        <w:t xml:space="preserve">Pozycja psychologa-diagnosty i osoby badanej podczas procesu diagnozy psychologicznej. </w:t>
      </w:r>
    </w:p>
    <w:p>
      <w:pPr>
        <w:pStyle w:val="Normal"/>
        <w:spacing w:lineRule="auto" w:line="269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 </w:t>
      </w:r>
      <w:r>
        <w:rPr>
          <w:sz w:val="22"/>
          <w:szCs w:val="22"/>
        </w:rPr>
        <w:t xml:space="preserve">Nawiązanie kontaktu. Czynniki utrudniające nawiązanie kontaktu podczas procesu diagnozowania. Techniki podtrzymywania kontaktu. Kontakt rzeczywisty a kontakt pozorny. Przyczyny kontaktu pozornego. </w:t>
      </w:r>
    </w:p>
    <w:p>
      <w:pPr>
        <w:pStyle w:val="Normal"/>
        <w:spacing w:lineRule="auto" w:line="269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10. Źródła oporu osoby badanej [rola lęku, winy, wstydu, poczucia winy]. Postępowanie diagnosty a opór osoby badanej. Techniki radzenia sobie z oporem osoby badanej. Radzenie sobie z aktywnym oporem osoby badanej.</w:t>
      </w:r>
    </w:p>
    <w:p>
      <w:pPr>
        <w:pStyle w:val="Normal"/>
        <w:spacing w:lineRule="auto" w:line="269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11. Wywiad psychologiczny – zasady przygotowywania pytań do wywiadu psychologicznego. Cel i rodzaje wywiadów. Analiza materiału z przeprowadzonego wywiadu. </w:t>
      </w:r>
    </w:p>
    <w:p>
      <w:pPr>
        <w:pStyle w:val="Normal"/>
        <w:spacing w:lineRule="auto" w:line="269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12. Obserwacja psychologiczna. </w:t>
      </w:r>
    </w:p>
    <w:p>
      <w:pPr>
        <w:pStyle w:val="Normal"/>
        <w:spacing w:lineRule="auto" w:line="269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13. Analiza przypadku - diagnoza psychologiczna. </w:t>
      </w:r>
    </w:p>
    <w:p>
      <w:pPr>
        <w:pStyle w:val="Normal"/>
        <w:spacing w:lineRule="auto" w:line="269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14. Zintegrowana diagnoza ogólna na podstawie przeprowadzonych badań. </w:t>
      </w:r>
    </w:p>
    <w:p>
      <w:pPr>
        <w:pStyle w:val="Normal"/>
        <w:spacing w:lineRule="auto" w:line="269" w:before="0" w:after="0"/>
        <w:ind w:hanging="10" w:start="562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15. Standardy etyczno-zawodowe w procesie diagnozy psychologicznej – etyka w praktyce psychologicznej.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2"/>
        <w:ind w:hanging="10" w:start="703"/>
        <w:rPr/>
      </w:pP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  <w:t>1.</w:t>
      </w:r>
      <w:r>
        <w:rPr>
          <w:rFonts w:eastAsia="Arial"/>
          <w:szCs w:val="22"/>
        </w:rPr>
        <w:t xml:space="preserve"> nie dotyczy</w:t>
      </w:r>
      <w:r>
        <w:rPr>
          <w:szCs w:val="22"/>
        </w:rPr>
        <w:t xml:space="preserve"> </w:t>
      </w:r>
    </w:p>
    <w:p>
      <w:pPr>
        <w:pStyle w:val="Normal"/>
        <w:spacing w:before="0" w:after="24"/>
        <w:ind w:start="491"/>
        <w:rPr>
          <w:szCs w:val="22"/>
        </w:rPr>
      </w:pPr>
      <w:r>
        <w:rPr>
          <w:szCs w:val="22"/>
        </w:rPr>
      </w:r>
    </w:p>
    <w:p>
      <w:pPr>
        <w:pStyle w:val="Normal"/>
        <w:spacing w:before="0" w:after="23"/>
        <w:ind w:hanging="10" w:start="577"/>
        <w:rPr>
          <w:b/>
          <w:sz w:val="24"/>
        </w:rPr>
      </w:pPr>
      <w:r>
        <w:rPr>
          <w:b/>
          <w:sz w:val="24"/>
        </w:rPr>
        <w:t xml:space="preserve">Inne </w:t>
      </w:r>
    </w:p>
    <w:p>
      <w:pPr>
        <w:pStyle w:val="Normal"/>
        <w:spacing w:before="0" w:after="23"/>
        <w:ind w:hanging="10" w:start="577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22"/>
        <w:ind w:hanging="10" w:start="703"/>
        <w:rPr/>
      </w:pPr>
      <w:r>
        <w:rPr/>
        <w:tab/>
      </w: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  <w:t>1.</w:t>
      </w:r>
      <w:r>
        <w:rPr>
          <w:rFonts w:eastAsia="Arial"/>
          <w:szCs w:val="22"/>
        </w:rPr>
        <w:t xml:space="preserve"> nie dotyczy</w:t>
      </w:r>
      <w:r>
        <w:rPr>
          <w:szCs w:val="22"/>
        </w:rPr>
        <w:t xml:space="preserve"> </w:t>
      </w:r>
    </w:p>
    <w:p>
      <w:pPr>
        <w:pStyle w:val="Normal"/>
        <w:tabs>
          <w:tab w:val="clear" w:pos="708"/>
          <w:tab w:val="center" w:pos="658" w:leader="none"/>
          <w:tab w:val="center" w:pos="1133" w:leader="none"/>
        </w:tabs>
        <w:spacing w:before="0" w:after="24"/>
        <w:rPr/>
      </w:pPr>
      <w:r>
        <w:rPr/>
      </w:r>
    </w:p>
    <w:p>
      <w:pPr>
        <w:pStyle w:val="Normal"/>
        <w:numPr>
          <w:ilvl w:val="1"/>
          <w:numId w:val="1"/>
        </w:numPr>
        <w:spacing w:lineRule="auto" w:line="269" w:before="0" w:after="0"/>
        <w:ind w:hanging="566" w:start="1118"/>
        <w:rPr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jc w:val="start"/>
        <w:tblInd w:w="313" w:type="dxa"/>
        <w:tblLayout w:type="fixed"/>
        <w:tblCellMar>
          <w:top w:w="47" w:type="dxa"/>
          <w:start w:w="5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1275"/>
        <w:gridCol w:w="6804"/>
        <w:gridCol w:w="1769"/>
      </w:tblGrid>
      <w:tr>
        <w:trPr>
          <w:trHeight w:val="989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Efekty przedmiotowe </w:t>
            </w:r>
          </w:p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3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Odniesienie do kierunkowych efektów uczenia się</w:t>
            </w:r>
          </w:p>
        </w:tc>
      </w:tr>
      <w:tr>
        <w:trPr>
          <w:trHeight w:val="588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521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wiedzy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2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Dysponuje pogłębioną, usystematyzowaną wiedzą dotyczącą specyfiki diagnozowania procesów psychicznych człowieka, jak również diagnozowania więzi społecznych w odniesieniu do procesów profilaktycznych </w:t>
              <w:br/>
              <w:t>i terapeutycznych.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PSYCH_W02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Zna w pogłębionym stopniu metody stosowane w diagnozie psychologicznej oraz dysponuje wiedzą w zakresie znajomości wybranych narzędzi badawczych wykorzystywanych w diagnozie, potrafi dokonywać konceptualizacji zjawisk i procesów psychospołecznych.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PSYCH_W05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Posiada szczegółową znajomość funkcjonowania organizmu człowieka </w:t>
              <w:br/>
              <w:t>w zakresie właściwym dla diagnozy psychologicznej.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PSYCH_W08</w:t>
            </w:r>
          </w:p>
        </w:tc>
      </w:tr>
      <w:tr>
        <w:trPr>
          <w:trHeight w:val="590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521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umiejętności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Potrafi budować teoretyczne modele wieloaspektowych zjawisk natury psychicznej oraz weryfikować je w procesie diagnozowania psychologicznego, dokonując wyboru adekwatnych metod i narzędzi psychologicznych; potrafi antycypować przebieg procesów psychospołecznych.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PSYCH_U04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start="0" w:end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Potrafi sformułować problem badawczy o charakterze psychologicznym, dokonać jego analizy, wygenerować pomysły jego rozwiązania oraz je zweryfikować za pomocą narzędzi psychologicznych w procesie diagnozowania psychologicznego oraz podać wnioski dla interwencji lub psychoterapii.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PSYCH_U05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U03</w:t>
            </w:r>
          </w:p>
        </w:tc>
        <w:tc>
          <w:tcPr>
            <w:tcW w:w="68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Jest świadomy potrzeby nieustannego aktualizowania i nabywania wiedzy i umiejętności w zawodzie psychologa oraz rozwoju osobistego, a także jest otwarty na szersze naukowe poznanie.</w:t>
            </w:r>
          </w:p>
        </w:tc>
        <w:tc>
          <w:tcPr>
            <w:tcW w:w="17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PSYCH_U12</w:t>
            </w:r>
          </w:p>
        </w:tc>
      </w:tr>
      <w:tr>
        <w:trPr>
          <w:trHeight w:val="588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837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kompetencji społecznych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Potrafi formułować diagnozy dotyczące różnych aspektów działalności zawodowej we współpracy z przedstawicielami innych dyscyplin.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PSYCH_K02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K02</w:t>
            </w:r>
          </w:p>
        </w:tc>
        <w:tc>
          <w:tcPr>
            <w:tcW w:w="68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Jest przygotowany do wypełniania różnych zadań zawodowych z zakresu diagnozy psychologicznej oraz do podejmowania profesjonalnych zespołowych zadań, również we współpracy ze specjalistami innych dyscyplin.</w:t>
            </w:r>
          </w:p>
        </w:tc>
        <w:tc>
          <w:tcPr>
            <w:tcW w:w="17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PSYCH_K03</w:t>
            </w:r>
          </w:p>
        </w:tc>
      </w:tr>
    </w:tbl>
    <w:p>
      <w:pPr>
        <w:pStyle w:val="Normal"/>
        <w:numPr>
          <w:ilvl w:val="1"/>
          <w:numId w:val="1"/>
        </w:numPr>
        <w:spacing w:lineRule="auto" w:line="269" w:before="0" w:after="127"/>
        <w:ind w:hanging="566" w:start="1118"/>
        <w:rPr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>
      <w:pPr>
        <w:pStyle w:val="Normal"/>
        <w:spacing w:before="0" w:after="22"/>
        <w:ind w:hanging="10" w:start="1286" w:end="1"/>
        <w:jc w:val="center"/>
        <w:rPr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jc w:val="start"/>
        <w:tblInd w:w="316" w:type="dxa"/>
        <w:tblLayout w:type="fixed"/>
        <w:tblCellMar>
          <w:top w:w="48" w:type="dxa"/>
          <w:start w:w="5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1272"/>
        <w:gridCol w:w="1232"/>
        <w:gridCol w:w="1219"/>
        <w:gridCol w:w="1206"/>
        <w:gridCol w:w="1210"/>
        <w:gridCol w:w="1203"/>
        <w:gridCol w:w="1218"/>
        <w:gridCol w:w="1284"/>
      </w:tblGrid>
      <w:tr>
        <w:trPr>
          <w:trHeight w:val="1482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Efekty przedmiotowe</w:t>
            </w:r>
          </w:p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(symbol) </w:t>
            </w:r>
          </w:p>
        </w:tc>
        <w:tc>
          <w:tcPr>
            <w:tcW w:w="1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Egzamin</w:t>
            </w:r>
          </w:p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pisemny* 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Kolokwium* </w:t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Projekt* 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Aktywność na zajęciach* 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Praca własna*</w:t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Inne </w:t>
            </w:r>
            <w:r>
              <w:rPr>
                <w:b/>
                <w:kern w:val="2"/>
                <w:sz w:val="20"/>
                <w:szCs w:val="24"/>
                <w:lang w:val="pl-PL" w:eastAsia="pl-PL" w:bidi="ar-SA"/>
              </w:rPr>
              <w:t xml:space="preserve">(jakie?)* </w:t>
              <w:br/>
            </w:r>
          </w:p>
        </w:tc>
      </w:tr>
      <w:tr>
        <w:trPr>
          <w:trHeight w:val="244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W01</w:t>
            </w:r>
          </w:p>
        </w:tc>
        <w:tc>
          <w:tcPr>
            <w:tcW w:w="1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W02</w:t>
            </w:r>
          </w:p>
        </w:tc>
        <w:tc>
          <w:tcPr>
            <w:tcW w:w="1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  <w:t>W03</w:t>
            </w:r>
          </w:p>
        </w:tc>
        <w:tc>
          <w:tcPr>
            <w:tcW w:w="12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U01</w:t>
            </w:r>
          </w:p>
        </w:tc>
        <w:tc>
          <w:tcPr>
            <w:tcW w:w="1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U02</w:t>
            </w:r>
          </w:p>
        </w:tc>
        <w:tc>
          <w:tcPr>
            <w:tcW w:w="1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  <w:t>U03</w:t>
            </w:r>
          </w:p>
        </w:tc>
        <w:tc>
          <w:tcPr>
            <w:tcW w:w="12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22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K01</w:t>
            </w:r>
          </w:p>
        </w:tc>
        <w:tc>
          <w:tcPr>
            <w:tcW w:w="1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22" w:hRule="atLeast"/>
        </w:trPr>
        <w:tc>
          <w:tcPr>
            <w:tcW w:w="12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  <w:t>K02</w:t>
            </w:r>
          </w:p>
        </w:tc>
        <w:tc>
          <w:tcPr>
            <w:tcW w:w="12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</w:tbl>
    <w:p>
      <w:pPr>
        <w:pStyle w:val="Normal"/>
        <w:spacing w:before="0" w:after="22"/>
        <w:ind w:hanging="10" w:start="1286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10069" w:type="dxa"/>
        <w:jc w:val="start"/>
        <w:tblInd w:w="24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163"/>
        <w:gridCol w:w="425"/>
        <w:gridCol w:w="425"/>
        <w:gridCol w:w="426"/>
        <w:gridCol w:w="425"/>
        <w:gridCol w:w="425"/>
        <w:gridCol w:w="428"/>
        <w:gridCol w:w="426"/>
        <w:gridCol w:w="425"/>
        <w:gridCol w:w="425"/>
        <w:gridCol w:w="425"/>
        <w:gridCol w:w="426"/>
        <w:gridCol w:w="422"/>
        <w:gridCol w:w="398"/>
        <w:gridCol w:w="426"/>
        <w:gridCol w:w="425"/>
        <w:gridCol w:w="428"/>
        <w:gridCol w:w="425"/>
        <w:gridCol w:w="426"/>
        <w:gridCol w:w="425"/>
        <w:gridCol w:w="425"/>
        <w:gridCol w:w="425"/>
      </w:tblGrid>
      <w:tr>
        <w:trPr/>
        <w:tc>
          <w:tcPr>
            <w:tcW w:w="116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8890" distB="8890" distL="5080" distR="4445" simplePos="0" relativeHeight="2" behindDoc="0" locked="0" layoutInCell="1" allowOverlap="1" wp14:anchorId="3BCAED5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5080" t="8890" r="4445" b="8890"/>
                      <wp:wrapNone/>
                      <wp:docPr id="1" name="Łącznik prosty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43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5608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25pt,1.15pt" to="50.2pt,28.1pt" stroked="t" o:allowincell="t" style="position:absolute" wp14:anchorId="3BCAED55">
                      <v:stroke color="#156082" weight="190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 xml:space="preserve">               </w:t>
            </w: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1:</w:t>
            </w:r>
          </w:p>
          <w:p>
            <w:pPr>
              <w:pStyle w:val="Normal"/>
              <w:widowControl/>
              <w:suppressAutoHyphens w:val="true"/>
              <w:spacing w:before="0" w:after="2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2: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</w:tr>
      <w:tr>
        <w:trPr/>
        <w:tc>
          <w:tcPr>
            <w:tcW w:w="116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W02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  <w:t>W03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U02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  <w:t>U03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K01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  <w:t>K02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0"/>
        </w:rPr>
        <w:t xml:space="preserve"> </w:t>
      </w:r>
    </w:p>
    <w:p>
      <w:pPr>
        <w:pStyle w:val="Normal"/>
        <w:numPr>
          <w:ilvl w:val="1"/>
          <w:numId w:val="1"/>
        </w:numPr>
        <w:spacing w:lineRule="auto" w:line="269" w:before="0" w:after="131"/>
        <w:ind w:hanging="566" w:start="1118"/>
        <w:rPr/>
      </w:pPr>
      <w:r>
        <w:rPr>
          <w:b/>
          <w:sz w:val="24"/>
        </w:rPr>
        <w:t xml:space="preserve">Kryteria oceny stopnia osiągnięcia efektów uczenia się </w:t>
      </w:r>
    </w:p>
    <w:p>
      <w:pPr>
        <w:pStyle w:val="Normal"/>
        <w:spacing w:before="0" w:after="22"/>
        <w:ind w:hanging="10" w:start="1286" w:end="1279"/>
        <w:jc w:val="center"/>
        <w:rPr/>
      </w:pPr>
      <w:r>
        <w:rPr>
          <w:b/>
          <w:sz w:val="24"/>
        </w:rPr>
        <w:t xml:space="preserve">Forma zajęć: </w:t>
      </w:r>
    </w:p>
    <w:p>
      <w:pPr>
        <w:pStyle w:val="Normal"/>
        <w:spacing w:before="0" w:after="22"/>
        <w:ind w:hanging="10" w:start="322"/>
        <w:rPr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jc w:val="start"/>
        <w:tblInd w:w="314" w:type="dxa"/>
        <w:tblLayout w:type="fixed"/>
        <w:tblCellMar>
          <w:top w:w="48" w:type="dxa"/>
          <w:start w:w="108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960"/>
        <w:gridCol w:w="8882"/>
      </w:tblGrid>
      <w:tr>
        <w:trPr>
          <w:trHeight w:val="305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Ocena </w:t>
            </w:r>
          </w:p>
        </w:tc>
        <w:tc>
          <w:tcPr>
            <w:tcW w:w="8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Kryterium oceny </w:t>
            </w:r>
          </w:p>
        </w:tc>
      </w:tr>
      <w:tr>
        <w:trPr>
          <w:trHeight w:val="305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3,0 </w:t>
            </w:r>
          </w:p>
        </w:tc>
        <w:tc>
          <w:tcPr>
            <w:tcW w:w="8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/>
              </w:rPr>
            </w:pPr>
            <w:r>
              <w:rPr>
                <w:rFonts w:cs="Times New Roman"/>
                <w:bCs/>
                <w:color w:val="auto"/>
                <w:sz w:val="20"/>
                <w:szCs w:val="20"/>
              </w:rPr>
              <w:t>min. 50 % poprawnych odpowiedzi z egzaminu</w:t>
            </w:r>
          </w:p>
        </w:tc>
      </w:tr>
      <w:tr>
        <w:trPr>
          <w:trHeight w:val="305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3,5 </w:t>
            </w:r>
          </w:p>
        </w:tc>
        <w:tc>
          <w:tcPr>
            <w:tcW w:w="8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/>
              </w:rPr>
            </w:pPr>
            <w:r>
              <w:rPr>
                <w:rFonts w:cs="Times New Roman"/>
                <w:bCs/>
                <w:sz w:val="20"/>
                <w:szCs w:val="20"/>
              </w:rPr>
              <w:t>min. 61 % poprawnych odpowiedzi z egzaminu</w:t>
            </w:r>
          </w:p>
        </w:tc>
      </w:tr>
      <w:tr>
        <w:trPr>
          <w:trHeight w:val="305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4,0 </w:t>
            </w:r>
          </w:p>
        </w:tc>
        <w:tc>
          <w:tcPr>
            <w:tcW w:w="8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/>
              </w:rPr>
            </w:pPr>
            <w:r>
              <w:rPr>
                <w:rFonts w:cs="Times New Roman"/>
                <w:bCs/>
                <w:sz w:val="20"/>
                <w:szCs w:val="20"/>
              </w:rPr>
              <w:t>min. 71 % poprawnych odpowiedzi z egzaminu</w:t>
            </w:r>
          </w:p>
        </w:tc>
      </w:tr>
      <w:tr>
        <w:trPr>
          <w:trHeight w:val="305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4,5 </w:t>
            </w:r>
          </w:p>
        </w:tc>
        <w:tc>
          <w:tcPr>
            <w:tcW w:w="8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/>
              </w:rPr>
            </w:pPr>
            <w:r>
              <w:rPr>
                <w:rFonts w:cs="Times New Roman"/>
                <w:bCs/>
                <w:sz w:val="20"/>
                <w:szCs w:val="20"/>
              </w:rPr>
              <w:t>min. 81 % poprawnych odpowiedzi z egzaminu</w:t>
            </w:r>
          </w:p>
        </w:tc>
      </w:tr>
      <w:tr>
        <w:trPr>
          <w:trHeight w:val="305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5,0 </w:t>
            </w:r>
          </w:p>
        </w:tc>
        <w:tc>
          <w:tcPr>
            <w:tcW w:w="8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/>
              </w:rPr>
            </w:pPr>
            <w:r>
              <w:rPr>
                <w:rFonts w:cs="Times New Roman"/>
                <w:bCs/>
                <w:sz w:val="20"/>
                <w:szCs w:val="20"/>
              </w:rPr>
              <w:t>min. 91 % poprawnych odpowiedzi z egzaminu</w:t>
            </w:r>
          </w:p>
        </w:tc>
      </w:tr>
    </w:tbl>
    <w:p>
      <w:pPr>
        <w:pStyle w:val="Normal"/>
        <w:spacing w:before="0" w:after="22"/>
        <w:ind w:hanging="10" w:start="1286" w:end="1279"/>
        <w:jc w:val="center"/>
        <w:rPr/>
      </w:pPr>
      <w:r>
        <w:rPr>
          <w:b/>
          <w:sz w:val="24"/>
        </w:rPr>
        <w:t xml:space="preserve">Forma zajęć: </w:t>
      </w:r>
    </w:p>
    <w:p>
      <w:pPr>
        <w:pStyle w:val="Normal"/>
        <w:spacing w:before="0" w:after="22"/>
        <w:ind w:hanging="10" w:start="236"/>
        <w:rPr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jc w:val="start"/>
        <w:tblInd w:w="324" w:type="dxa"/>
        <w:tblLayout w:type="fixed"/>
        <w:tblCellMar>
          <w:top w:w="48" w:type="dxa"/>
          <w:start w:w="108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953"/>
        <w:gridCol w:w="8873"/>
      </w:tblGrid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2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6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Kryterium oceny 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end="113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Cs/>
                <w:color w:val="auto"/>
                <w:sz w:val="20"/>
                <w:szCs w:val="20"/>
              </w:rPr>
              <w:t>min. 50 % poprawnych odpowiedzi z kolokwium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min. 61 % poprawnych odpowiedzi z kolokwium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min. 71 % poprawnych odpowiedzi z kolokwium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min. 81 % poprawnych odpowiedzi z kolokwium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min. 91 % poprawnych odpowiedzi z kolokwium</w:t>
            </w:r>
          </w:p>
        </w:tc>
      </w:tr>
    </w:tbl>
    <w:p>
      <w:pPr>
        <w:pStyle w:val="Normal"/>
        <w:spacing w:before="0" w:after="22"/>
        <w:ind w:hanging="10" w:start="1286" w:end="1279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jc w:val="start"/>
        <w:tblInd w:w="313" w:type="dxa"/>
        <w:tblLayout w:type="fixed"/>
        <w:tblCellMar>
          <w:top w:w="47" w:type="dxa"/>
          <w:start w:w="112" w:type="dxa"/>
          <w:bottom w:w="0" w:type="dxa"/>
          <w:end w:w="97" w:type="dxa"/>
        </w:tblCellMar>
        <w:tblLook w:val="04a0" w:firstRow="1" w:noVBand="1" w:lastRow="0" w:firstColumn="1" w:lastColumn="0" w:noHBand="0"/>
      </w:tblPr>
      <w:tblGrid>
        <w:gridCol w:w="5501"/>
        <w:gridCol w:w="2173"/>
        <w:gridCol w:w="2171"/>
      </w:tblGrid>
      <w:tr>
        <w:trPr>
          <w:trHeight w:val="600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1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Kategoria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Obciążenie studenta: studia niestacjonarne </w:t>
            </w:r>
          </w:p>
        </w:tc>
      </w:tr>
      <w:tr>
        <w:trPr>
          <w:trHeight w:val="59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1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LICZBA GODZIN REALIZOWANYCH PRZY BEZPOŚREDNIM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60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40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Udział w ćwiczeniach*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20</w:t>
            </w:r>
          </w:p>
        </w:tc>
      </w:tr>
      <w:tr>
        <w:trPr>
          <w:trHeight w:val="601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end="79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598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17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SAMODZIELNA PRACA STUDENTA (GODZINY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40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60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>Przygotowanie do ćwiczeń*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Opracowanie prezentacji multimedialnej/referatu naukowego*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Inne </w:t>
            </w:r>
            <w:r>
              <w:rPr>
                <w:kern w:val="2"/>
                <w:sz w:val="20"/>
                <w:szCs w:val="24"/>
                <w:lang w:val="pl-PL" w:eastAsia="pl-PL" w:bidi="ar-SA"/>
              </w:rPr>
              <w:t>(jakie?)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- </w:t>
            </w:r>
          </w:p>
        </w:tc>
      </w:tr>
      <w:tr>
        <w:trPr>
          <w:trHeight w:val="304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100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100</w:t>
            </w:r>
          </w:p>
        </w:tc>
      </w:tr>
      <w:tr>
        <w:trPr>
          <w:trHeight w:val="304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4</w:t>
            </w:r>
          </w:p>
        </w:tc>
      </w:tr>
    </w:tbl>
    <w:p>
      <w:pPr>
        <w:pStyle w:val="Normal"/>
        <w:spacing w:before="0" w:after="0"/>
        <w:ind w:start="254"/>
        <w:rPr/>
      </w:pPr>
      <w:r>
        <w:rPr>
          <w:b/>
          <w:sz w:val="20"/>
        </w:rPr>
        <w:t xml:space="preserve">*niepotrzebne usunąć </w:t>
      </w:r>
    </w:p>
    <w:p>
      <w:pPr>
        <w:pStyle w:val="Normal"/>
        <w:spacing w:before="0" w:after="602"/>
        <w:ind w:start="319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602"/>
        <w:ind w:start="319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602"/>
        <w:ind w:start="319"/>
        <w:rPr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>
      <w:pPr>
        <w:pStyle w:val="Normal"/>
        <w:spacing w:before="0" w:after="0"/>
        <w:ind w:end="278"/>
        <w:jc w:val="end"/>
        <w:rPr/>
      </w:pPr>
      <w:r>
        <w:rPr>
          <w:sz w:val="21"/>
        </w:rPr>
        <w:t>…………………………………………………………………………………………………………………………………………</w:t>
      </w:r>
      <w:r>
        <w:rPr>
          <w:sz w:val="21"/>
        </w:rPr>
        <w:t xml:space="preserve">.. </w:t>
      </w:r>
    </w:p>
    <w:sectPr>
      <w:type w:val="nextPage"/>
      <w:pgSz w:w="11906" w:h="16838"/>
      <w:pgMar w:left="720" w:right="716" w:gutter="0" w:header="0" w:top="768" w:footer="0" w:bottom="75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 Unicode MS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850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118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2">
      <w:start w:val="1"/>
      <w:numFmt w:val="bullet"/>
      <w:lvlText w:val="•"/>
      <w:lvlJc w:val="start"/>
      <w:pPr>
        <w:tabs>
          <w:tab w:val="num" w:pos="0"/>
        </w:tabs>
        <w:ind w:start="979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136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08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80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352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424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496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Calibri" w:hAnsi="Calibri" w:cs="Calibri"/>
        <w:i w:val="false"/>
        <w:iCs w:val="false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2"/>
      <w:sz w:val="22"/>
      <w:szCs w:val="24"/>
      <w:lang w:val="pl-PL" w:eastAsia="pl-PL" w:bidi="ar-SA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314"/>
      <w:ind w:end="7"/>
      <w:jc w:val="center"/>
      <w:outlineLvl w:val="0"/>
    </w:pPr>
    <w:rPr>
      <w:rFonts w:ascii="Calibri" w:hAnsi="Calibri" w:eastAsia="Calibri" w:cs="Calibri"/>
      <w:b/>
      <w:color w:val="000000"/>
      <w:kern w:val="2"/>
      <w:sz w:val="32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Calibri" w:hAnsi="Calibri" w:eastAsia="Calibri" w:cs="Calibri"/>
      <w:b/>
      <w:color w:val="000000"/>
      <w:sz w:val="32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41360"/>
    <w:pPr>
      <w:spacing w:lineRule="auto" w:line="240" w:before="0" w:after="0"/>
      <w:ind w:start="720"/>
      <w:contextualSpacing/>
    </w:pPr>
    <w:rPr>
      <w:rFonts w:ascii="Arial Unicode MS" w:hAnsi="Arial Unicode MS" w:eastAsia="Arial Unicode MS" w:cs="Arial Unicode MS"/>
      <w:kern w:val="0"/>
      <w:sz w:val="24"/>
      <w:lang w:val="pl-PL"/>
      <w14:ligatures w14:val="none"/>
    </w:rPr>
  </w:style>
  <w:style w:type="paragraph" w:styleId="Cytatblokowy">
    <w:name w:val="Cytat blokowy"/>
    <w:basedOn w:val="Normal"/>
    <w:qFormat/>
    <w:pPr>
      <w:spacing w:before="0" w:after="283"/>
      <w:ind w:hanging="0" w:start="567" w:end="567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78" w:before="0" w:after="0"/>
      <w:jc w:val="star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l-PL"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cd.who.int/en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LibreOffice/26.2.4.2$Windows_X86_64 LibreOffice_project/0229ac93fcf0d7cbc6376066c6f35021cef002dc</Application>
  <AppVersion>15.0000</AppVersion>
  <Pages>6</Pages>
  <Words>1417</Words>
  <Characters>9770</Characters>
  <CharactersWithSpaces>11015</CharactersWithSpaces>
  <Paragraphs>303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2026-02-09T10:15:00Z</dcterms:created>
  <dc:creator>Rektor UJK</dc:creator>
  <dc:description/>
  <cp:keywords>Zarządzenie nr 189-2025 Budowa programu studiów Załącznik nr 4</cp:keywords>
  <dc:language>pl-PL</dc:language>
  <cp:lastModifiedBy/>
  <dcterms:modified xsi:type="dcterms:W3CDTF">2026-06-28T15:14:05Z</dcterms:modified>
  <cp:revision>10</cp:revision>
  <dc:subject/>
  <dc:title>Zarządzenie nr 189-2025 Budowa programu studiów Załącznik nr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