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3BA5D98" w:rsidR="005A3806" w:rsidRDefault="00000000">
      <w:pPr>
        <w:pStyle w:val="Nagwek1"/>
      </w:pPr>
      <w:r>
        <w:t>KARTA PRZEDMIOTU</w:t>
      </w:r>
    </w:p>
    <w:p w14:paraId="0CACB78E" w14:textId="71598A02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302B94" w:rsidRPr="00302B94">
        <w:rPr>
          <w:bCs/>
          <w:szCs w:val="22"/>
        </w:rPr>
        <w:t>0313.3.PSY.F14.WPB</w:t>
      </w:r>
    </w:p>
    <w:p w14:paraId="27C80E56" w14:textId="0013DC99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302B94" w:rsidRPr="00302B94">
        <w:rPr>
          <w:bCs/>
          <w:szCs w:val="22"/>
        </w:rPr>
        <w:t>Współczesne problemy bezrobocia</w:t>
      </w:r>
    </w:p>
    <w:p w14:paraId="005D6121" w14:textId="7BAA320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302B94" w:rsidRPr="00302B94">
        <w:rPr>
          <w:sz w:val="24"/>
        </w:rPr>
        <w:t>Contemporary</w:t>
      </w:r>
      <w:proofErr w:type="spellEnd"/>
      <w:r w:rsidR="00302B94" w:rsidRPr="00302B94">
        <w:rPr>
          <w:sz w:val="24"/>
        </w:rPr>
        <w:t xml:space="preserve"> </w:t>
      </w:r>
      <w:proofErr w:type="spellStart"/>
      <w:r w:rsidR="00302B94" w:rsidRPr="00302B94">
        <w:rPr>
          <w:sz w:val="24"/>
        </w:rPr>
        <w:t>problems</w:t>
      </w:r>
      <w:proofErr w:type="spellEnd"/>
      <w:r w:rsidR="00302B94" w:rsidRPr="00302B94">
        <w:rPr>
          <w:sz w:val="24"/>
        </w:rPr>
        <w:t xml:space="preserve"> of </w:t>
      </w:r>
      <w:proofErr w:type="spellStart"/>
      <w:r w:rsidR="00302B94" w:rsidRPr="00302B94">
        <w:rPr>
          <w:sz w:val="24"/>
        </w:rPr>
        <w:t>unemployment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E68E83D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302B94">
              <w:rPr>
                <w:szCs w:val="22"/>
              </w:rPr>
              <w:t xml:space="preserve">Jacek </w:t>
            </w:r>
            <w:proofErr w:type="spellStart"/>
            <w:r w:rsidR="00302B94">
              <w:rPr>
                <w:szCs w:val="22"/>
              </w:rPr>
              <w:t>Szkurłat</w:t>
            </w:r>
            <w:proofErr w:type="spellEnd"/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6F5E1EC" w:rsidR="0025381E" w:rsidRPr="00751E02" w:rsidRDefault="00302B94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jacek</w:t>
            </w:r>
            <w:r w:rsidR="0025381E" w:rsidRPr="00751E02">
              <w:rPr>
                <w:szCs w:val="22"/>
              </w:rPr>
              <w:t>.</w:t>
            </w:r>
            <w:r>
              <w:rPr>
                <w:szCs w:val="22"/>
              </w:rPr>
              <w:t>szkurlat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C643" w14:textId="77777777" w:rsidR="00302B94" w:rsidRPr="00302B94" w:rsidRDefault="00302B94" w:rsidP="00302B94">
            <w:pPr>
              <w:jc w:val="both"/>
              <w:rPr>
                <w:szCs w:val="22"/>
              </w:rPr>
            </w:pPr>
            <w:r w:rsidRPr="00302B94">
              <w:rPr>
                <w:szCs w:val="22"/>
              </w:rPr>
              <w:t>Wykład: wykład informacyjny (WI) wykład problemowy (WP) wykład konwersatoryjny (WK); film (FL)</w:t>
            </w:r>
          </w:p>
          <w:p w14:paraId="1468C25F" w14:textId="7C76B3D4" w:rsidR="00AB5DB1" w:rsidRPr="00751E02" w:rsidRDefault="00302B94" w:rsidP="00302B94">
            <w:pPr>
              <w:jc w:val="both"/>
              <w:rPr>
                <w:szCs w:val="22"/>
              </w:rPr>
            </w:pPr>
            <w:r w:rsidRPr="00302B94">
              <w:rPr>
                <w:szCs w:val="22"/>
              </w:rPr>
              <w:t>Ćwiczenia: dyskusja wielokrotna (grupowa) (DG); dyskusja – burza mózgów (BM); warsztaty dydaktyczne (WD)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48A0" w14:textId="545F9758" w:rsidR="00CC3673" w:rsidRPr="00CC3673" w:rsidRDefault="00CC3673" w:rsidP="00CC3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 w:rsidRPr="00CC3673">
              <w:rPr>
                <w:szCs w:val="22"/>
              </w:rPr>
              <w:t xml:space="preserve">Arendt, Ł., Hryniewicka, A., </w:t>
            </w:r>
            <w:proofErr w:type="spellStart"/>
            <w:r w:rsidRPr="00CC3673">
              <w:rPr>
                <w:szCs w:val="22"/>
              </w:rPr>
              <w:t>Kukulak</w:t>
            </w:r>
            <w:proofErr w:type="spellEnd"/>
            <w:r w:rsidRPr="00CC3673">
              <w:rPr>
                <w:szCs w:val="22"/>
              </w:rPr>
              <w:t xml:space="preserve">-Dolata, I., &amp; Rokicki, B. (2012). </w:t>
            </w:r>
            <w:r w:rsidRPr="00CC3673">
              <w:rPr>
                <w:i/>
                <w:iCs/>
                <w:szCs w:val="22"/>
              </w:rPr>
              <w:t>Bezrobocie – między diagnozą a działaniem.</w:t>
            </w:r>
            <w:r w:rsidRPr="00CC3673">
              <w:rPr>
                <w:szCs w:val="22"/>
              </w:rPr>
              <w:t xml:space="preserve"> Instytut Rozwoju Służb Społecznych.</w:t>
            </w:r>
          </w:p>
          <w:p w14:paraId="1865163C" w14:textId="25792771" w:rsidR="00CC3673" w:rsidRPr="00CC3673" w:rsidRDefault="00CC3673" w:rsidP="00CC3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proofErr w:type="spellStart"/>
            <w:r w:rsidRPr="00CC3673">
              <w:rPr>
                <w:szCs w:val="22"/>
              </w:rPr>
              <w:t>Kirenko</w:t>
            </w:r>
            <w:proofErr w:type="spellEnd"/>
            <w:r w:rsidRPr="00CC3673">
              <w:rPr>
                <w:szCs w:val="22"/>
              </w:rPr>
              <w:t xml:space="preserve">, J., &amp; Duda, M. (2018). </w:t>
            </w:r>
            <w:r w:rsidRPr="00CC3673">
              <w:rPr>
                <w:i/>
                <w:iCs/>
                <w:szCs w:val="22"/>
              </w:rPr>
              <w:t>Bezrobocie – jakość życia – uwarunkowania.</w:t>
            </w:r>
            <w:r w:rsidRPr="00CC3673">
              <w:rPr>
                <w:szCs w:val="22"/>
              </w:rPr>
              <w:t xml:space="preserve"> Wydawnictwo Uniwersytetu Marii Curie-Skłodowskiej.</w:t>
            </w:r>
          </w:p>
          <w:p w14:paraId="5F78A3F8" w14:textId="7AB12E1D" w:rsidR="00CC3673" w:rsidRPr="00CC3673" w:rsidRDefault="00CC3673" w:rsidP="00CC3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proofErr w:type="spellStart"/>
            <w:r w:rsidRPr="00CC3673">
              <w:rPr>
                <w:szCs w:val="22"/>
              </w:rPr>
              <w:t>Retowski</w:t>
            </w:r>
            <w:proofErr w:type="spellEnd"/>
            <w:r w:rsidRPr="00CC3673">
              <w:rPr>
                <w:szCs w:val="22"/>
              </w:rPr>
              <w:t xml:space="preserve">, S. (2012). </w:t>
            </w:r>
            <w:r w:rsidRPr="00CC3673">
              <w:rPr>
                <w:i/>
                <w:iCs/>
                <w:szCs w:val="22"/>
              </w:rPr>
              <w:t>Bezrobocie i odpowiedzialność</w:t>
            </w:r>
            <w:r w:rsidRPr="00CC3673">
              <w:rPr>
                <w:szCs w:val="22"/>
              </w:rPr>
              <w:t>. Wydawnictwo Naukowe Scholar.</w:t>
            </w:r>
          </w:p>
          <w:p w14:paraId="79A50677" w14:textId="3237396F" w:rsidR="00396967" w:rsidRPr="00396967" w:rsidRDefault="00CC3673" w:rsidP="00CC3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  <w:r w:rsidRPr="00CC3673">
              <w:rPr>
                <w:szCs w:val="22"/>
              </w:rPr>
              <w:t xml:space="preserve">Skowrońska, A. (2014). </w:t>
            </w:r>
            <w:r w:rsidRPr="00CC3673">
              <w:rPr>
                <w:i/>
                <w:iCs/>
                <w:szCs w:val="22"/>
              </w:rPr>
              <w:t>Praca socjalna z osobami długotrwale bezrobotnymi i członkami ich rodzin</w:t>
            </w:r>
            <w:r w:rsidRPr="00CC3673">
              <w:rPr>
                <w:szCs w:val="22"/>
              </w:rPr>
              <w:t>. Centrum Rozwoju Zasobów Ludzkich.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E619" w14:textId="77777777" w:rsidR="00CC3673" w:rsidRPr="00CC3673" w:rsidRDefault="00CC3673" w:rsidP="00CC3673">
            <w:pPr>
              <w:jc w:val="both"/>
              <w:rPr>
                <w:color w:val="000000" w:themeColor="text1"/>
                <w:szCs w:val="22"/>
              </w:rPr>
            </w:pPr>
            <w:proofErr w:type="spellStart"/>
            <w:r w:rsidRPr="00CC3673">
              <w:rPr>
                <w:color w:val="000000" w:themeColor="text1"/>
                <w:szCs w:val="22"/>
              </w:rPr>
              <w:t>Flaszyńska</w:t>
            </w:r>
            <w:proofErr w:type="spellEnd"/>
            <w:r w:rsidRPr="00CC3673">
              <w:rPr>
                <w:color w:val="000000" w:themeColor="text1"/>
                <w:szCs w:val="22"/>
              </w:rPr>
              <w:t xml:space="preserve">, E. (2019). </w:t>
            </w:r>
            <w:r w:rsidRPr="00CC3673">
              <w:rPr>
                <w:i/>
                <w:iCs/>
                <w:color w:val="000000" w:themeColor="text1"/>
                <w:szCs w:val="22"/>
              </w:rPr>
              <w:t>Bezrobocie. Bezrobotny. Praca socjalna</w:t>
            </w:r>
            <w:r w:rsidRPr="00CC3673">
              <w:rPr>
                <w:color w:val="000000" w:themeColor="text1"/>
                <w:szCs w:val="22"/>
              </w:rPr>
              <w:t xml:space="preserve">. </w:t>
            </w:r>
            <w:proofErr w:type="spellStart"/>
            <w:r w:rsidRPr="00CC3673">
              <w:rPr>
                <w:color w:val="000000" w:themeColor="text1"/>
                <w:szCs w:val="22"/>
              </w:rPr>
              <w:t>Difin</w:t>
            </w:r>
            <w:proofErr w:type="spellEnd"/>
            <w:r w:rsidRPr="00CC3673">
              <w:rPr>
                <w:color w:val="000000" w:themeColor="text1"/>
                <w:szCs w:val="22"/>
              </w:rPr>
              <w:t xml:space="preserve">. </w:t>
            </w:r>
          </w:p>
          <w:p w14:paraId="18701F48" w14:textId="77777777" w:rsidR="00CC3673" w:rsidRPr="00CC3673" w:rsidRDefault="00CC3673" w:rsidP="00CC3673">
            <w:pPr>
              <w:jc w:val="both"/>
              <w:rPr>
                <w:color w:val="000000" w:themeColor="text1"/>
                <w:szCs w:val="22"/>
              </w:rPr>
            </w:pPr>
            <w:r w:rsidRPr="00CC3673">
              <w:rPr>
                <w:color w:val="000000" w:themeColor="text1"/>
                <w:szCs w:val="22"/>
              </w:rPr>
              <w:t xml:space="preserve">Karpiński, A. (2006). </w:t>
            </w:r>
            <w:r w:rsidRPr="00CC3673">
              <w:rPr>
                <w:i/>
                <w:iCs/>
                <w:color w:val="000000" w:themeColor="text1"/>
                <w:szCs w:val="22"/>
              </w:rPr>
              <w:t>Przyszłość rynku pracy w Polsce</w:t>
            </w:r>
            <w:r w:rsidRPr="00CC3673">
              <w:rPr>
                <w:color w:val="000000" w:themeColor="text1"/>
                <w:szCs w:val="22"/>
              </w:rPr>
              <w:t xml:space="preserve">. Polska Akademia Nauk, Komitet Prognoz „Polska 2000 Plus”. </w:t>
            </w:r>
          </w:p>
          <w:p w14:paraId="4FCD19A8" w14:textId="4FD066A7" w:rsidR="00F24434" w:rsidRPr="00CC3673" w:rsidRDefault="00F24434" w:rsidP="00CC3673">
            <w:pPr>
              <w:jc w:val="both"/>
              <w:rPr>
                <w:color w:val="000000" w:themeColor="text1"/>
                <w:szCs w:val="22"/>
              </w:rPr>
            </w:pP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58C43249" w14:textId="6791416F" w:rsidR="00CC3673" w:rsidRPr="00CC3673" w:rsidRDefault="00DB2C37" w:rsidP="00A904D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CC3673"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problematyką bezrobocia, aktualnych i potencjalnych patologii rynku pracy oraz podstawowych funkcji i mechanizmów gospodarczych warunkujących jego funkcjonowanie.</w:t>
      </w:r>
    </w:p>
    <w:p w14:paraId="79C9EEA9" w14:textId="77777777" w:rsidR="00CC3673" w:rsidRPr="00CC3673" w:rsidRDefault="00CC3673" w:rsidP="00A904D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C2. </w:t>
      </w:r>
      <w:r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umiejętności oceny działań ukierunkowanych na rozwój i poprawę funkcjonowania rynku pracy, przeciwdziałania zjawisku bezrobocia oraz jego skutkom.</w:t>
      </w: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 </w:t>
      </w:r>
    </w:p>
    <w:p w14:paraId="4C9059DC" w14:textId="52D5C8EC" w:rsidR="00DB2C37" w:rsidRDefault="00CC3673" w:rsidP="00A904D1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Wdrożenie do prospołecznego sposobu myślenia i pojmowania mechanizmów determinujących rozwój społeczny i gospodarczy.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60E8FD95" w14:textId="77777777" w:rsidR="00CC3673" w:rsidRPr="00CC3673" w:rsidRDefault="00DB2C37" w:rsidP="00A904D1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CC3673"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problematyką bezrobocia, aktualnych i potencjalnych patologii rynku pracy oraz podstawowych funkcji i mechanizmów gospodarczych warunkujących jego funkcjonowanie.</w:t>
      </w:r>
    </w:p>
    <w:p w14:paraId="6555243A" w14:textId="77777777" w:rsidR="00CC3673" w:rsidRPr="00CC3673" w:rsidRDefault="00CC3673" w:rsidP="00A904D1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umiejętności oceny działań ukierunkowanych na rozwój i poprawę funkcjonowania rynku pracy, przeciwdziałania zjawisku bezrobocia oraz jego skutkom.</w:t>
      </w: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 </w:t>
      </w:r>
    </w:p>
    <w:p w14:paraId="02CB2933" w14:textId="0E5BC2E1" w:rsidR="00A302C9" w:rsidRPr="00E42FC4" w:rsidRDefault="00CC3673" w:rsidP="00A904D1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</w:rPr>
      </w:pPr>
      <w:r w:rsidRPr="00CC3673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Pr="00CC367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Wdrożenie do prospołecznego sposobu myślenia i pojmowania mechanizmów determinujących rozwój społeczny i gospodarczy.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1108F20" w14:textId="77777777" w:rsidR="00CC3673" w:rsidRPr="00CC3673" w:rsidRDefault="0022569A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187570">
        <w:rPr>
          <w:szCs w:val="22"/>
        </w:rPr>
        <w:t xml:space="preserve"> </w:t>
      </w:r>
      <w:r w:rsidR="00CC3673" w:rsidRPr="00CC3673">
        <w:rPr>
          <w:szCs w:val="22"/>
        </w:rPr>
        <w:t>Zapoznanie z kartą przedmiotu i warunkami zaliczenia.</w:t>
      </w:r>
    </w:p>
    <w:p w14:paraId="434F8B20" w14:textId="080CE8FE" w:rsidR="00CC3673" w:rsidRPr="00CC3673" w:rsidRDefault="00CC3673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Pojęcia rynku pracy i bezrobocia</w:t>
      </w:r>
      <w:r w:rsidR="00A904D1">
        <w:rPr>
          <w:szCs w:val="22"/>
        </w:rPr>
        <w:t>.</w:t>
      </w:r>
    </w:p>
    <w:p w14:paraId="5D9935EC" w14:textId="77777777" w:rsidR="00CC3673" w:rsidRPr="00CC3673" w:rsidRDefault="00CC3673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Analiza sytuacji na rynkach pracy w wybranych krajach Europy i świata:</w:t>
      </w:r>
    </w:p>
    <w:p w14:paraId="59B67CC5" w14:textId="732AD98F" w:rsidR="00CC3673" w:rsidRPr="00CC3673" w:rsidRDefault="00CC3673" w:rsidP="00A904D1">
      <w:pPr>
        <w:numPr>
          <w:ilvl w:val="1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poziom bezrobocia i zatrudnienia</w:t>
      </w:r>
      <w:r w:rsidR="00A904D1">
        <w:rPr>
          <w:szCs w:val="22"/>
        </w:rPr>
        <w:t>.</w:t>
      </w:r>
    </w:p>
    <w:p w14:paraId="48DD69D5" w14:textId="4DE93E6E" w:rsidR="00CC3673" w:rsidRPr="00CC3673" w:rsidRDefault="00CC3673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Szanse i zagrożenia dla rynków pracy w kontekście globalizacji</w:t>
      </w:r>
      <w:r w:rsidR="00A904D1">
        <w:rPr>
          <w:szCs w:val="22"/>
        </w:rPr>
        <w:t>.</w:t>
      </w:r>
    </w:p>
    <w:p w14:paraId="7131E92B" w14:textId="77777777" w:rsidR="00CC3673" w:rsidRPr="00CC3673" w:rsidRDefault="00CC3673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Analiza sytuacji na rynku pracy w Polsce od roku 1990:</w:t>
      </w:r>
    </w:p>
    <w:p w14:paraId="22CAF9D4" w14:textId="64C3E489" w:rsidR="00CC3673" w:rsidRPr="00CC3673" w:rsidRDefault="00CC3673" w:rsidP="00A904D1">
      <w:pPr>
        <w:numPr>
          <w:ilvl w:val="1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transformacja (pojęcie, przyczyny, skutki)</w:t>
      </w:r>
      <w:r w:rsidR="00A904D1">
        <w:rPr>
          <w:szCs w:val="22"/>
        </w:rPr>
        <w:t>,</w:t>
      </w:r>
    </w:p>
    <w:p w14:paraId="5FDF005F" w14:textId="489ABBFE" w:rsidR="00CC3673" w:rsidRPr="00CC3673" w:rsidRDefault="00CC3673" w:rsidP="00A904D1">
      <w:pPr>
        <w:numPr>
          <w:ilvl w:val="1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poziom bezrobocia i zatrudnienia</w:t>
      </w:r>
      <w:r w:rsidR="00A904D1">
        <w:rPr>
          <w:szCs w:val="22"/>
        </w:rPr>
        <w:t>.</w:t>
      </w:r>
    </w:p>
    <w:p w14:paraId="091E2BDC" w14:textId="6FD54BA5" w:rsidR="00CC3673" w:rsidRPr="00CC3673" w:rsidRDefault="00CC3673" w:rsidP="00A904D1">
      <w:pPr>
        <w:numPr>
          <w:ilvl w:val="0"/>
          <w:numId w:val="18"/>
        </w:numPr>
        <w:spacing w:after="0" w:line="268" w:lineRule="auto"/>
        <w:jc w:val="both"/>
        <w:rPr>
          <w:szCs w:val="22"/>
        </w:rPr>
      </w:pPr>
      <w:r w:rsidRPr="00CC3673">
        <w:rPr>
          <w:szCs w:val="22"/>
        </w:rPr>
        <w:t>Przyszłość rynku pracy – projekcje zatrudnienia i bezrobocia w wymiarze krajowym i międzynarodowym</w:t>
      </w:r>
      <w:r w:rsidR="00A904D1">
        <w:rPr>
          <w:szCs w:val="22"/>
        </w:rPr>
        <w:t>.</w:t>
      </w:r>
      <w:r w:rsidRPr="00CC3673">
        <w:rPr>
          <w:szCs w:val="22"/>
        </w:rPr>
        <w:t xml:space="preserve"> </w:t>
      </w:r>
    </w:p>
    <w:p w14:paraId="16C7ED58" w14:textId="65854740" w:rsidR="0022569A" w:rsidRPr="00187570" w:rsidRDefault="0022569A" w:rsidP="00CC3673">
      <w:pPr>
        <w:spacing w:after="0" w:line="268" w:lineRule="auto"/>
        <w:ind w:left="562" w:hanging="10"/>
        <w:rPr>
          <w:szCs w:val="22"/>
        </w:rPr>
      </w:pP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5DF1E5A5" w14:textId="77777777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Zapoznanie z kartą przedmiotu i warunkami zaliczenia.</w:t>
      </w:r>
    </w:p>
    <w:p w14:paraId="2403E035" w14:textId="72530261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Znaczenie pracy w życiu człowieka – jej społeczny wymiar</w:t>
      </w:r>
      <w:r w:rsidR="00A904D1">
        <w:t>.</w:t>
      </w:r>
      <w:r w:rsidRPr="00CC3673">
        <w:t xml:space="preserve"> </w:t>
      </w:r>
    </w:p>
    <w:p w14:paraId="43BD0EFF" w14:textId="77777777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Bezrobocie jako problem społeczny i ekonomiczny:</w:t>
      </w:r>
    </w:p>
    <w:p w14:paraId="46F519E3" w14:textId="758F4696" w:rsidR="00CC3673" w:rsidRPr="00CC3673" w:rsidRDefault="00CC3673" w:rsidP="00A904D1">
      <w:pPr>
        <w:numPr>
          <w:ilvl w:val="1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przyczyny bezrobocia</w:t>
      </w:r>
      <w:r w:rsidR="00A904D1">
        <w:t>,</w:t>
      </w:r>
    </w:p>
    <w:p w14:paraId="43EEFDB8" w14:textId="1493D25E" w:rsidR="00CC3673" w:rsidRPr="00CC3673" w:rsidRDefault="00CC3673" w:rsidP="00A904D1">
      <w:pPr>
        <w:numPr>
          <w:ilvl w:val="1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rodzaje bezrobocia</w:t>
      </w:r>
      <w:r w:rsidR="00A904D1">
        <w:t>.</w:t>
      </w:r>
    </w:p>
    <w:p w14:paraId="42885708" w14:textId="05FA2CF4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Indywidualne skutki bezrobocia</w:t>
      </w:r>
      <w:r w:rsidR="00A904D1">
        <w:t>.</w:t>
      </w:r>
    </w:p>
    <w:p w14:paraId="037FA9EC" w14:textId="699B4715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Społeczno-ekonomiczne skutki bezrobocia</w:t>
      </w:r>
      <w:r w:rsidR="00A904D1">
        <w:t>.</w:t>
      </w:r>
    </w:p>
    <w:p w14:paraId="53A6784F" w14:textId="0502E48C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Psychologiczne skutki bezrobocia oraz cechy psychospołeczne bezrobotnych</w:t>
      </w:r>
      <w:r w:rsidR="00A904D1">
        <w:t>.</w:t>
      </w:r>
    </w:p>
    <w:p w14:paraId="346243AB" w14:textId="77777777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Polityka rynku pracy:</w:t>
      </w:r>
    </w:p>
    <w:p w14:paraId="38CAD036" w14:textId="5B068242" w:rsidR="00CC3673" w:rsidRPr="00CC3673" w:rsidRDefault="00CC3673" w:rsidP="00A904D1">
      <w:pPr>
        <w:numPr>
          <w:ilvl w:val="1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cel i zakres polityki rynku pracy</w:t>
      </w:r>
      <w:r w:rsidR="00A904D1">
        <w:t>,</w:t>
      </w:r>
    </w:p>
    <w:p w14:paraId="57A28055" w14:textId="23C00F0C" w:rsidR="00CC3673" w:rsidRPr="00CC3673" w:rsidRDefault="00CC3673" w:rsidP="00A904D1">
      <w:pPr>
        <w:numPr>
          <w:ilvl w:val="1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instytucje rynku pracy</w:t>
      </w:r>
      <w:r w:rsidR="00A904D1">
        <w:t>,</w:t>
      </w:r>
    </w:p>
    <w:p w14:paraId="1022191E" w14:textId="1A0DF682" w:rsidR="00CC3673" w:rsidRPr="00CC3673" w:rsidRDefault="00CC3673" w:rsidP="00A904D1">
      <w:pPr>
        <w:numPr>
          <w:ilvl w:val="1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>aktywizacja zawodowa bezrobotnych</w:t>
      </w:r>
      <w:r w:rsidR="00A904D1">
        <w:t>.</w:t>
      </w:r>
    </w:p>
    <w:p w14:paraId="072A5E62" w14:textId="0E34798B" w:rsidR="00CC3673" w:rsidRPr="00CC3673" w:rsidRDefault="00CC3673" w:rsidP="00A904D1">
      <w:pPr>
        <w:numPr>
          <w:ilvl w:val="0"/>
          <w:numId w:val="19"/>
        </w:numPr>
        <w:tabs>
          <w:tab w:val="center" w:pos="658"/>
          <w:tab w:val="center" w:pos="1133"/>
        </w:tabs>
        <w:spacing w:after="24"/>
        <w:jc w:val="both"/>
      </w:pPr>
      <w:r w:rsidRPr="00CC3673">
        <w:t xml:space="preserve"> Problemy w pracy z osobami długotrwale bezrobotnymi</w:t>
      </w:r>
      <w:r w:rsidR="00A904D1">
        <w:t>.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C03B538" w:rsidR="00C567A2" w:rsidRPr="00DB7C17" w:rsidRDefault="00CC3673" w:rsidP="004C40E9">
            <w:pPr>
              <w:jc w:val="both"/>
              <w:rPr>
                <w:szCs w:val="22"/>
              </w:rPr>
            </w:pPr>
            <w:r w:rsidRPr="00CC3673">
              <w:rPr>
                <w:szCs w:val="22"/>
              </w:rPr>
              <w:t>Opisuje kierunki rozwoju rynku pracy, klasyfikuje historyczne, polityczne, ekonomiczne i społeczne uwarunkowania zjawiska bezrobocia</w:t>
            </w:r>
            <w:r w:rsidR="00BB56CE" w:rsidRPr="00DB7C17"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1F14B0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PSYCH_W04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0DC4794D" w:rsidR="00C567A2" w:rsidRPr="00DB7C17" w:rsidRDefault="00CC3673" w:rsidP="004C40E9">
            <w:pPr>
              <w:jc w:val="both"/>
              <w:rPr>
                <w:szCs w:val="22"/>
              </w:rPr>
            </w:pPr>
            <w:r w:rsidRPr="00CC3673">
              <w:rPr>
                <w:szCs w:val="22"/>
              </w:rPr>
              <w:t>Wyjaśnia problem bezrobocia, jego specyfikę oraz rozpoznaje działania i instytucje rynku pracy odpowiedzialne za pomoc bezrobotnym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10A8C9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PSYCH_W12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CAA2932" w:rsidR="00C567A2" w:rsidRDefault="00CC3673" w:rsidP="004C40E9">
            <w:pPr>
              <w:jc w:val="both"/>
            </w:pPr>
            <w:r w:rsidRPr="00CC3673">
              <w:t>Projektuje rozwiązania problemów bezrobotnych oraz prognozuje skutki podejmowanych działań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64ADFDE8" w:rsidR="00C567A2" w:rsidRDefault="007737D9" w:rsidP="00C567A2">
            <w:pPr>
              <w:ind w:left="29"/>
              <w:jc w:val="center"/>
            </w:pPr>
            <w:r w:rsidRPr="007737D9">
              <w:t>PSYCH_</w:t>
            </w:r>
            <w:r w:rsidR="00CC3673">
              <w:t>U11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FFAABA4" w:rsidR="00C567A2" w:rsidRDefault="00CC3673" w:rsidP="00A904D1">
            <w:pPr>
              <w:jc w:val="both"/>
            </w:pPr>
            <w:r w:rsidRPr="00CC3673">
              <w:t>Jest zdolny do konstruowania przedsięwzięć ukierunkowanych na przeciwdziałanie zjawisku bezrobocia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D7B4E11" w:rsidR="00C567A2" w:rsidRDefault="007737D9" w:rsidP="00C567A2">
            <w:pPr>
              <w:ind w:left="49"/>
              <w:jc w:val="center"/>
            </w:pPr>
            <w:r w:rsidRPr="007737D9">
              <w:t>PSYCH_K05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0"/>
        <w:gridCol w:w="1217"/>
        <w:gridCol w:w="1208"/>
        <w:gridCol w:w="1211"/>
        <w:gridCol w:w="1204"/>
        <w:gridCol w:w="1215"/>
        <w:gridCol w:w="1284"/>
      </w:tblGrid>
      <w:tr w:rsidR="00B51939" w14:paraId="3571F9FC" w14:textId="77777777" w:rsidTr="007E2297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155D02E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215D5A46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>Aktywność na zajęciach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1D29C5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  <w:r w:rsidR="007E2297">
              <w:rPr>
                <w:b/>
                <w:sz w:val="21"/>
              </w:rPr>
              <w:t>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168536DD" w:rsidR="005A3806" w:rsidRDefault="007E2297" w:rsidP="007E2297">
            <w:pPr>
              <w:ind w:left="64"/>
              <w:jc w:val="center"/>
            </w:pPr>
            <w:r>
              <w:rPr>
                <w:b/>
                <w:sz w:val="21"/>
              </w:rPr>
              <w:t>Odpowiedź ustna</w:t>
            </w:r>
          </w:p>
        </w:tc>
      </w:tr>
      <w:tr w:rsidR="00B51939" w14:paraId="0BD4DDAC" w14:textId="77777777" w:rsidTr="007E2297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0F966E91" w:rsidR="006D026E" w:rsidRDefault="007E2297" w:rsidP="007E2297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0F32345B" w14:textId="77777777" w:rsidTr="007E2297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40DEB5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12F31D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191C5F95" w:rsidR="006D026E" w:rsidRDefault="007E2297" w:rsidP="007E2297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1588A05A" w14:textId="77777777" w:rsidTr="007E2297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0FBC20B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1255B5F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3A98C9C5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7E2297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84E6658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36AC9CBF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25487F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15676CE4" w:rsidR="006D026E" w:rsidRPr="00C030B4" w:rsidRDefault="007E229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6940891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F522A1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35A494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3BC91522" w:rsidR="006D026E" w:rsidRPr="00C030B4" w:rsidRDefault="007E229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6BD9361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2EA8DDC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7C889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69B9BBD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06FCE34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2E2475D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5889EFF" w:rsidR="005C2851" w:rsidRDefault="005C2851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</w:t>
            </w:r>
            <w:r w:rsidR="007E2297">
              <w:rPr>
                <w:color w:val="auto"/>
                <w:sz w:val="20"/>
                <w:szCs w:val="20"/>
              </w:rPr>
              <w:t>punktów z odpowiedzi ustnej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31596FC" w:rsidR="005C2851" w:rsidRDefault="005C2851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odpowiedzi ustnej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4084AE31" w:rsidR="005C2851" w:rsidRDefault="005C2851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odpowiedzi ustnej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52DF8B0F" w:rsidR="005C2851" w:rsidRDefault="005C2851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odpowiedzi ustnej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31CFF725" w:rsidR="005C2851" w:rsidRDefault="005C2851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odpowiedzi ustnej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A1978EF" w:rsidR="00091754" w:rsidRDefault="00091754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</w:t>
            </w:r>
            <w:r w:rsidR="003013F7">
              <w:rPr>
                <w:color w:val="auto"/>
                <w:sz w:val="20"/>
                <w:szCs w:val="20"/>
              </w:rPr>
              <w:t xml:space="preserve">punktów z </w:t>
            </w:r>
            <w:r w:rsidR="003013F7">
              <w:rPr>
                <w:color w:val="auto"/>
                <w:sz w:val="20"/>
                <w:szCs w:val="20"/>
              </w:rPr>
              <w:t>kolokwium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74342FF" w:rsidR="00091754" w:rsidRDefault="00091754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kolokwium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A49C472" w:rsidR="00091754" w:rsidRDefault="00091754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kolokwium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3D2D9499" w:rsidR="00091754" w:rsidRDefault="00091754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kolokwium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9C2D56E" w:rsidR="00091754" w:rsidRDefault="00091754" w:rsidP="00A904D1">
            <w:pPr>
              <w:jc w:val="both"/>
            </w:pPr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="003013F7">
              <w:rPr>
                <w:color w:val="auto"/>
                <w:sz w:val="20"/>
                <w:szCs w:val="20"/>
              </w:rPr>
              <w:t>punktów z kolokwium</w:t>
            </w:r>
          </w:p>
        </w:tc>
      </w:tr>
    </w:tbl>
    <w:p w14:paraId="0EE8CCAA" w14:textId="32005347" w:rsidR="003013F7" w:rsidRPr="003013F7" w:rsidRDefault="003013F7" w:rsidP="003013F7">
      <w:pPr>
        <w:pStyle w:val="Akapitzlist"/>
        <w:spacing w:line="268" w:lineRule="auto"/>
        <w:ind w:left="850"/>
        <w:rPr>
          <w:rFonts w:ascii="Calibri" w:hAnsi="Calibri" w:cs="Calibri"/>
          <w:i/>
          <w:lang w:val="pl-PL"/>
        </w:rPr>
      </w:pPr>
      <w:r>
        <w:rPr>
          <w:rFonts w:ascii="Calibri" w:hAnsi="Calibri" w:cs="Calibri"/>
          <w:i/>
          <w:lang w:val="pl-PL"/>
        </w:rPr>
        <w:lastRenderedPageBreak/>
        <w:t>*</w:t>
      </w:r>
      <w:r w:rsidRPr="003013F7">
        <w:rPr>
          <w:rFonts w:ascii="Calibri" w:hAnsi="Calibri" w:cs="Calibri"/>
          <w:i/>
          <w:lang w:val="pl-PL"/>
        </w:rPr>
        <w:t>Studenci wykazujący aktywność w dyskusjach (3 razy) uzyskują dodatkowo 1 punkt doliczany do oceny z testu zaliczeniowego</w:t>
      </w:r>
    </w:p>
    <w:p w14:paraId="1655821A" w14:textId="77777777" w:rsidR="003013F7" w:rsidRPr="003013F7" w:rsidRDefault="003013F7" w:rsidP="003013F7">
      <w:pPr>
        <w:pStyle w:val="Akapitzlist"/>
        <w:spacing w:line="268" w:lineRule="auto"/>
        <w:ind w:left="850"/>
        <w:rPr>
          <w:lang w:val="pl-PL"/>
        </w:rPr>
      </w:pPr>
    </w:p>
    <w:p w14:paraId="35A3BD3E" w14:textId="1876883E" w:rsidR="005A3806" w:rsidRPr="003013F7" w:rsidRDefault="00000000" w:rsidP="003013F7">
      <w:pPr>
        <w:pStyle w:val="Akapitzlist"/>
        <w:numPr>
          <w:ilvl w:val="0"/>
          <w:numId w:val="1"/>
        </w:numPr>
        <w:spacing w:line="268" w:lineRule="auto"/>
        <w:rPr>
          <w:sz w:val="22"/>
          <w:szCs w:val="22"/>
        </w:rPr>
      </w:pPr>
      <w:r w:rsidRPr="003013F7">
        <w:rPr>
          <w:b/>
          <w:sz w:val="22"/>
          <w:szCs w:val="22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0C37356" w:rsidR="005A3806" w:rsidRPr="00A07F11" w:rsidRDefault="003013F7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707D47C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3013F7">
              <w:rPr>
                <w:b/>
                <w:bCs/>
              </w:rPr>
              <w:t>7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3660F99D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4154DBB8" w:rsidR="005A3806" w:rsidRDefault="00000000">
            <w:r>
              <w:rPr>
                <w:sz w:val="21"/>
              </w:rPr>
              <w:t xml:space="preserve">Udział w ćwiczeniach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01C5BAE3" w:rsidR="005A3806" w:rsidRDefault="003013F7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F2F30DE" w:rsidR="005A3806" w:rsidRDefault="00A07F11">
            <w:pPr>
              <w:ind w:left="32"/>
              <w:jc w:val="center"/>
            </w:pPr>
            <w:r>
              <w:t>1</w:t>
            </w:r>
            <w:r w:rsidR="003013F7">
              <w:t>5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6F710342" w:rsidR="005A3806" w:rsidRDefault="003013F7">
            <w:pPr>
              <w:ind w:right="79"/>
            </w:pPr>
            <w:r>
              <w:rPr>
                <w:sz w:val="21"/>
              </w:rPr>
              <w:t>Udział w kolokwium zaliczeniowym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5EE392E0" w:rsidR="005A3806" w:rsidRDefault="003013F7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51D55EEF" w:rsidR="005A3806" w:rsidRDefault="003013F7">
            <w:pPr>
              <w:ind w:left="32"/>
              <w:jc w:val="center"/>
            </w:pPr>
            <w:r>
              <w:t>2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806B69B" w:rsidR="005A3806" w:rsidRPr="00A07F11" w:rsidRDefault="003013F7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1B5D0C6" w:rsidR="005A3806" w:rsidRPr="00A07F11" w:rsidRDefault="003013F7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105FCFBE" w:rsidR="005A3806" w:rsidRDefault="00000000">
            <w:r>
              <w:rPr>
                <w:sz w:val="21"/>
              </w:rPr>
              <w:t>Przygotowanie do wykładu</w:t>
            </w:r>
            <w:r w:rsidR="003013F7">
              <w:rPr>
                <w:sz w:val="21"/>
              </w:rPr>
              <w:t xml:space="preserve"> i zaliczenia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125A4DD" w:rsidR="005A3806" w:rsidRDefault="003013F7">
            <w:pPr>
              <w:ind w:left="30"/>
              <w:jc w:val="center"/>
            </w:pPr>
            <w:r>
              <w:t>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3B96B6D" w:rsidR="005A3806" w:rsidRDefault="003013F7">
            <w:pPr>
              <w:ind w:left="32"/>
              <w:jc w:val="center"/>
            </w:pPr>
            <w:r>
              <w:t>58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0210B98E" w:rsidR="005A3806" w:rsidRDefault="00000000">
            <w:r>
              <w:rPr>
                <w:sz w:val="21"/>
              </w:rPr>
              <w:t>Przygotowanie do ćwiczeń</w:t>
            </w:r>
            <w:r w:rsidR="003013F7">
              <w:rPr>
                <w:sz w:val="21"/>
              </w:rPr>
              <w:t xml:space="preserve"> i zaliczenia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8AE4E42" w:rsidR="005A3806" w:rsidRDefault="003013F7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03CE53D" w:rsidR="005A3806" w:rsidRDefault="00A07F11">
            <w:pPr>
              <w:ind w:left="32"/>
              <w:jc w:val="center"/>
            </w:pPr>
            <w:r>
              <w:t>1</w:t>
            </w:r>
            <w:r w:rsidR="003013F7"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69B7018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013F7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92AB21E" w:rsidR="005A3806" w:rsidRPr="003013F7" w:rsidRDefault="003013F7">
            <w:pPr>
              <w:ind w:left="32"/>
              <w:jc w:val="center"/>
              <w:rPr>
                <w:b/>
                <w:bCs/>
              </w:rPr>
            </w:pPr>
            <w:r w:rsidRPr="003013F7">
              <w:rPr>
                <w:b/>
                <w:bCs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2163E967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013F7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3B308A6B" w:rsidR="005A3806" w:rsidRPr="003013F7" w:rsidRDefault="003013F7">
            <w:pPr>
              <w:ind w:left="32"/>
              <w:jc w:val="center"/>
              <w:rPr>
                <w:b/>
                <w:bCs/>
              </w:rPr>
            </w:pPr>
            <w:r w:rsidRPr="003013F7">
              <w:rPr>
                <w:b/>
                <w:bCs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54D"/>
    <w:multiLevelType w:val="hybridMultilevel"/>
    <w:tmpl w:val="496C457A"/>
    <w:lvl w:ilvl="0" w:tplc="D660C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97E4B"/>
    <w:multiLevelType w:val="hybridMultilevel"/>
    <w:tmpl w:val="44A4CF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E5546A0"/>
    <w:multiLevelType w:val="hybridMultilevel"/>
    <w:tmpl w:val="F9B06F0E"/>
    <w:lvl w:ilvl="0" w:tplc="05141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06E80A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6B84"/>
    <w:multiLevelType w:val="hybridMultilevel"/>
    <w:tmpl w:val="AE80F9F0"/>
    <w:lvl w:ilvl="0" w:tplc="128A95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4C2164"/>
    <w:multiLevelType w:val="hybridMultilevel"/>
    <w:tmpl w:val="40FEAB1A"/>
    <w:lvl w:ilvl="0" w:tplc="05141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988465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60268F"/>
    <w:multiLevelType w:val="hybridMultilevel"/>
    <w:tmpl w:val="D6AE82BE"/>
    <w:lvl w:ilvl="0" w:tplc="D660C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6"/>
  </w:num>
  <w:num w:numId="2" w16cid:durableId="204097126">
    <w:abstractNumId w:val="13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2"/>
  </w:num>
  <w:num w:numId="6" w16cid:durableId="1888494969">
    <w:abstractNumId w:val="15"/>
  </w:num>
  <w:num w:numId="7" w16cid:durableId="285704002">
    <w:abstractNumId w:val="10"/>
  </w:num>
  <w:num w:numId="8" w16cid:durableId="1388794099">
    <w:abstractNumId w:val="5"/>
  </w:num>
  <w:num w:numId="9" w16cid:durableId="1015766033">
    <w:abstractNumId w:val="12"/>
  </w:num>
  <w:num w:numId="10" w16cid:durableId="612400775">
    <w:abstractNumId w:val="17"/>
  </w:num>
  <w:num w:numId="11" w16cid:durableId="178852915">
    <w:abstractNumId w:val="3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1"/>
  </w:num>
  <w:num w:numId="15" w16cid:durableId="2017266281">
    <w:abstractNumId w:val="0"/>
  </w:num>
  <w:num w:numId="16" w16cid:durableId="1715736014">
    <w:abstractNumId w:val="4"/>
  </w:num>
  <w:num w:numId="17" w16cid:durableId="1838492380">
    <w:abstractNumId w:val="18"/>
  </w:num>
  <w:num w:numId="18" w16cid:durableId="81114208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150474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013F7"/>
    <w:rsid w:val="00302B94"/>
    <w:rsid w:val="003265A8"/>
    <w:rsid w:val="0033175A"/>
    <w:rsid w:val="0039653C"/>
    <w:rsid w:val="00396967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37851"/>
    <w:rsid w:val="00751E02"/>
    <w:rsid w:val="007737D9"/>
    <w:rsid w:val="0078209C"/>
    <w:rsid w:val="007942A4"/>
    <w:rsid w:val="007D408C"/>
    <w:rsid w:val="007E2297"/>
    <w:rsid w:val="007F1F2A"/>
    <w:rsid w:val="008056D0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302C9"/>
    <w:rsid w:val="00A54185"/>
    <w:rsid w:val="00A904D1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0E9B"/>
    <w:rsid w:val="00C2178A"/>
    <w:rsid w:val="00C54838"/>
    <w:rsid w:val="00C567A2"/>
    <w:rsid w:val="00CB2F65"/>
    <w:rsid w:val="00CC3673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7</cp:revision>
  <dcterms:created xsi:type="dcterms:W3CDTF">2026-06-24T17:05:00Z</dcterms:created>
  <dcterms:modified xsi:type="dcterms:W3CDTF">2026-06-24T17:36:00Z</dcterms:modified>
</cp:coreProperties>
</file>