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Normal"/>
        <w:spacing w:lineRule="auto" w:line="269" w:before="0" w:after="251"/>
        <w:ind w:hanging="10" w:start="435"/>
        <w:rPr/>
      </w:pPr>
      <w:r>
        <w:rPr>
          <w:b/>
          <w:sz w:val="24"/>
        </w:rPr>
        <w:t xml:space="preserve">Kod przedmiotu (zajęć): </w:t>
      </w:r>
      <w:r>
        <w:rPr>
          <w:rFonts w:cs="Aptos" w:ascii="Calibri" w:hAnsi="Calibri" w:cstheme="minorHAnsi"/>
          <w:b w:val="false"/>
          <w:bCs w:val="false"/>
          <w:iCs/>
          <w:color w:val="000000"/>
          <w:sz w:val="22"/>
          <w:szCs w:val="22"/>
        </w:rPr>
        <w:t>0313.3.PSY.F01.NK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>
      <w:pPr>
        <w:pStyle w:val="Normal"/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>
        <w:rPr>
          <w:rFonts w:cs="Aptos" w:ascii="Calibri" w:hAnsi="Calibri" w:cstheme="minorHAnsi"/>
          <w:b w:val="false"/>
          <w:bCs w:val="false"/>
          <w:color w:val="000000"/>
          <w:sz w:val="20"/>
          <w:szCs w:val="20"/>
        </w:rPr>
        <w:t>Neuropsychologia kliniczna</w:t>
      </w:r>
      <w:r>
        <w:rPr>
          <w:rFonts w:ascii="Calibri" w:hAnsi="Calibri"/>
          <w:b w:val="false"/>
          <w:bCs w:val="false"/>
          <w:sz w:val="20"/>
          <w:szCs w:val="20"/>
        </w:rPr>
        <w:t xml:space="preserve"> </w:t>
      </w:r>
    </w:p>
    <w:p>
      <w:pPr>
        <w:pStyle w:val="Normal"/>
        <w:spacing w:lineRule="auto" w:line="269" w:before="0" w:after="251"/>
        <w:ind w:hanging="10" w:start="438"/>
        <w:rPr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>
        <w:rPr>
          <w:rFonts w:cs="Calibri"/>
          <w:b w:val="false"/>
          <w:bCs w:val="false"/>
          <w:i w:val="false"/>
          <w:iCs/>
          <w:color w:val="000000"/>
          <w:sz w:val="24"/>
          <w:szCs w:val="24"/>
        </w:rPr>
        <w:t>Clinical Neuropsychology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2"/>
        <w:gridCol w:w="5007"/>
      </w:tblGrid>
      <w:tr>
        <w:trPr>
          <w:trHeight w:val="346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Agata Sitko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agata.sitko@ujk.edu.pl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7"/>
        <w:gridCol w:w="6282"/>
      </w:tblGrid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Pozytywna ocena z Biomedycznych podstaw zachowania, Psychopatologii, Psychologii klinicznej, Psychologii rehabilitacji, Psychologii procesów poznawczych, Diagnozy psychologicznej, Psychometrii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5"/>
        <w:gridCol w:w="6284"/>
      </w:tblGrid>
      <w:tr>
        <w:trPr>
          <w:trHeight w:val="600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color w:val="auto"/>
                <w:kern w:val="2"/>
                <w:szCs w:val="22"/>
                <w:lang w:val="pl-PL" w:eastAsia="pl-PL" w:bidi="ar-SA"/>
              </w:rPr>
              <w:t>Wykład, ćwiczenia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Pomieszczenia dydaktyczne UJK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Egzamin (w), Zaliczenie z oceną (ćw)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Wykład: Wykład informacyjny. Wykład problemowy.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Ćwiczenia: Metody problemowe (analiza przypadków, metoda sytuacyjna) i praktyczne (ćwiczenia przedmiotowe, pokaz z opisem). Dyskusja wielokrotna (grupowa). Dyskusja- burza mózgów. Metoda inscenizacji. 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/>
            </w:pPr>
            <w:r>
              <w:rPr>
                <w:rFonts w:ascii="Calibri" w:hAnsi="Calibri"/>
                <w:sz w:val="22"/>
                <w:szCs w:val="22"/>
              </w:rPr>
              <w:t xml:space="preserve">Christensen, A.-L., Goldberg, E., Bougakov, D. (2009). </w:t>
            </w:r>
            <w:r>
              <w:rPr>
                <w:rStyle w:val="Emphasis"/>
                <w:rFonts w:ascii="Calibri" w:hAnsi="Calibri"/>
                <w:b w:val="false"/>
                <w:strike w:val="false"/>
                <w:dstrike w:val="false"/>
                <w:sz w:val="22"/>
                <w:szCs w:val="22"/>
                <w:u w:val="none"/>
                <w:effect w:val="none"/>
              </w:rPr>
              <w:t>Luria’s Legacy in the 21st Century</w:t>
            </w:r>
            <w:r>
              <w:rPr>
                <w:rFonts w:ascii="Calibri" w:hAnsi="Calibri"/>
                <w:sz w:val="22"/>
                <w:szCs w:val="22"/>
              </w:rPr>
              <w:t>. OUP.</w:t>
            </w:r>
            <w:r>
              <w:rPr/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  <w:lang w:eastAsia="pl-PL" w:bidi="ar-SA"/>
              </w:rPr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  <w:lang w:val="pl-PL" w:eastAsia="pl-PL" w:bidi="ar-SA"/>
              </w:rPr>
              <w:t xml:space="preserve">Darby D., Walsh K. (2014). </w:t>
            </w:r>
            <w:r>
              <w:rPr>
                <w:rFonts w:cs="Calibri" w:ascii="Calibri" w:hAnsi="Calibri"/>
                <w:bCs/>
                <w:i/>
                <w:color w:val="000000"/>
                <w:sz w:val="22"/>
                <w:szCs w:val="22"/>
                <w:lang w:val="pl-PL" w:eastAsia="pl-PL" w:bidi="ar-SA"/>
              </w:rPr>
              <w:t>Neuropsychologia kliniczna Walsha</w:t>
            </w:r>
            <w:r>
              <w:rPr>
                <w:rFonts w:cs="Calibri" w:ascii="Calibri" w:hAnsi="Calibri"/>
                <w:bCs/>
                <w:color w:val="000000"/>
                <w:sz w:val="22"/>
                <w:szCs w:val="22"/>
                <w:lang w:val="pl-PL" w:eastAsia="pl-PL" w:bidi="ar-SA"/>
              </w:rPr>
              <w:t>. GWP.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/>
            </w:pPr>
            <w:r>
              <w:rPr>
                <w:rFonts w:ascii="Calibri" w:hAnsi="Calibri"/>
                <w:sz w:val="22"/>
                <w:szCs w:val="22"/>
              </w:rPr>
              <w:t xml:space="preserve">Domańska, Ł. Borkowska, A. R. (red.). (2011). </w:t>
            </w:r>
            <w:r>
              <w:rPr>
                <w:rStyle w:val="Emphasis"/>
                <w:rFonts w:ascii="Calibri" w:hAnsi="Calibri"/>
                <w:b w:val="false"/>
                <w:strike w:val="false"/>
                <w:dstrike w:val="false"/>
                <w:sz w:val="22"/>
                <w:szCs w:val="22"/>
                <w:u w:val="none"/>
                <w:effect w:val="none"/>
              </w:rPr>
              <w:t>Podstawy neuropsychologii klinicznej</w:t>
            </w:r>
            <w:r>
              <w:rPr>
                <w:rFonts w:ascii="Calibri" w:hAnsi="Calibri"/>
                <w:sz w:val="22"/>
                <w:szCs w:val="22"/>
              </w:rPr>
              <w:t>. UMCS.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color w:themeColor="text1" w:val="000000"/>
                <w:szCs w:val="22"/>
              </w:rPr>
            </w:pPr>
            <w:r>
              <w:rPr>
                <w:rFonts w:eastAsia="Arial Unicode MS" w:ascii="Calibri" w:hAnsi="Calibri"/>
                <w:b w:val="false"/>
                <w:bCs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</w:rPr>
              <w:t xml:space="preserve">Herzyk, A. (2011). </w:t>
            </w:r>
            <w:r>
              <w:rPr>
                <w:rStyle w:val="Emphasis"/>
                <w:rFonts w:eastAsia="Arial Unicode MS" w:ascii="Calibri" w:hAnsi="Calibri"/>
                <w:b w:val="false"/>
                <w:bCs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</w:rPr>
              <w:t>Neuropsychologia kliniczna. Wobec zjawisk świadomości i nieświadomości</w:t>
            </w:r>
            <w:r>
              <w:rPr>
                <w:rFonts w:eastAsia="Arial Unicode MS" w:ascii="Calibri" w:hAnsi="Calibri"/>
                <w:b w:val="false"/>
                <w:bCs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</w:rPr>
              <w:t>. PWN.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color w:themeColor="text1" w:val="000000"/>
                <w:szCs w:val="22"/>
              </w:rPr>
            </w:pPr>
            <w:r>
              <w:rPr>
                <w:rFonts w:eastAsia="Arial Unicode MS" w:ascii="Calibri" w:hAnsi="Calibri"/>
                <w:b w:val="false"/>
                <w:bCs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</w:rPr>
              <w:t xml:space="preserve">Pąchalska, M. (2014). </w:t>
            </w:r>
            <w:r>
              <w:rPr>
                <w:rStyle w:val="Emphasis"/>
                <w:rFonts w:eastAsia="Arial Unicode MS" w:ascii="Calibri" w:hAnsi="Calibri"/>
                <w:b w:val="false"/>
                <w:bCs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</w:rPr>
              <w:t>Rehabilitacja neuropsychologiczna</w:t>
            </w:r>
            <w:r>
              <w:rPr>
                <w:rFonts w:eastAsia="Arial Unicode MS" w:ascii="Calibri" w:hAnsi="Calibri"/>
                <w:b w:val="false"/>
                <w:bCs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</w:rPr>
              <w:t>. UMCS.</w:t>
            </w:r>
            <w:r>
              <w:rPr>
                <w:rFonts w:eastAsia="Arial Unicode MS"/>
                <w:bCs/>
                <w:color w:themeColor="text1" w:val="000000"/>
                <w:szCs w:val="22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start="308"/>
              <w:contextualSpacing/>
              <w:jc w:val="both"/>
              <w:rPr>
                <w:rFonts w:ascii="Calibri" w:hAnsi="Calibri"/>
                <w:color w:themeColor="text1" w:val="000000"/>
                <w:szCs w:val="22"/>
              </w:rPr>
            </w:pPr>
            <w:r>
              <w:rPr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 xml:space="preserve">Górska, T., Grabowska, A., Zagrodzka, J. (red.). (2012). </w:t>
            </w:r>
            <w:r>
              <w:rPr>
                <w:rStyle w:val="Emphasis"/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>Mózg</w:t>
              <w:br/>
              <w:t>a zachowanie</w:t>
            </w:r>
            <w:r>
              <w:rPr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>. PWN.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start="308"/>
              <w:contextualSpacing/>
              <w:jc w:val="both"/>
              <w:rPr>
                <w:rFonts w:ascii="Calibri" w:hAnsi="Calibri"/>
                <w:color w:themeColor="text1" w:val="000000"/>
                <w:szCs w:val="22"/>
              </w:rPr>
            </w:pPr>
            <w:r>
              <w:rPr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 xml:space="preserve">Pąchalska, M. (2014). </w:t>
            </w:r>
            <w:r>
              <w:rPr>
                <w:rStyle w:val="Emphasis"/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>Neuropsychologia kliniczna. Urazy mózgu</w:t>
            </w:r>
            <w:r>
              <w:rPr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 xml:space="preserve"> (T. 1–2). PWN.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start="308"/>
              <w:contextualSpacing/>
              <w:jc w:val="both"/>
              <w:rPr>
                <w:rFonts w:ascii="Calibri" w:hAnsi="Calibri"/>
                <w:color w:themeColor="text1" w:val="000000"/>
                <w:szCs w:val="22"/>
              </w:rPr>
            </w:pPr>
            <w:r>
              <w:rPr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 xml:space="preserve">Walsh, K. (2001). </w:t>
            </w:r>
            <w:r>
              <w:rPr>
                <w:rStyle w:val="Emphasis"/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>Jak rozumieć uszkodzenia mózgu: Podstawy diagnozy neuropsychologicznej</w:t>
            </w:r>
            <w:r>
              <w:rPr>
                <w:rFonts w:eastAsia="Arial Unicode MS" w:ascii="Calibri" w:hAnsi="Calibri"/>
                <w:b w:val="false"/>
                <w:strike w:val="false"/>
                <w:dstrike w:val="false"/>
                <w:color w:themeColor="text1" w:val="000000"/>
                <w:kern w:val="0"/>
                <w:sz w:val="22"/>
                <w:szCs w:val="22"/>
                <w:u w:val="none"/>
                <w:effect w:val="none"/>
              </w:rPr>
              <w:t>. IPiN.</w:t>
            </w:r>
          </w:p>
        </w:tc>
      </w:tr>
    </w:tbl>
    <w:p>
      <w:pPr>
        <w:pStyle w:val="Normal"/>
        <w:spacing w:lineRule="auto" w:line="269" w:before="0" w:after="133"/>
        <w:ind w:hanging="360" w:start="85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69" w:before="0" w:after="133"/>
        <w:ind w:hanging="360" w:start="85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>
          <w:b/>
          <w:sz w:val="24"/>
        </w:rPr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Wykłady </w:t>
      </w:r>
    </w:p>
    <w:p>
      <w:pPr>
        <w:pStyle w:val="ListParagraph"/>
        <w:numPr>
          <w:ilvl w:val="0"/>
          <w:numId w:val="4"/>
        </w:numPr>
        <w:spacing w:before="0" w:after="23"/>
        <w:contextualSpacing/>
        <w:jc w:val="both"/>
        <w:rPr>
          <w:rFonts w:ascii="Calibri" w:hAnsi="Calibri" w:eastAsia="Calibri" w:cs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2"/>
          <w:szCs w:val="22"/>
          <w:lang w:val="pl-PL"/>
          <w14:ligatures w14:val="standardContextual"/>
        </w:rPr>
        <w:t>C1.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2"/>
          <w:szCs w:val="22"/>
          <w:lang w:val="pl-PL"/>
          <w14:ligatures w14:val="standardContextual"/>
        </w:rPr>
        <w:t>Przygotowanie studentów do pracy diagnostycznej i terapeutycznej z osobami chorymi,</w:t>
        <w:br/>
        <w:t>u których organiczne zmiany ośrodkowego układu nerwowego (uszkodzenia mózgu) spowodowały zaburzenia w funkcjonowaniu psychologicznym, społecznym oraz w zachowaniu.</w:t>
      </w:r>
    </w:p>
    <w:p>
      <w:pPr>
        <w:pStyle w:val="ListParagraph"/>
        <w:numPr>
          <w:ilvl w:val="0"/>
          <w:numId w:val="4"/>
        </w:numPr>
        <w:spacing w:before="0" w:after="23"/>
        <w:contextualSpacing/>
        <w:jc w:val="both"/>
        <w:rPr>
          <w:b w:val="false"/>
          <w:b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  <w:color w:val="000000"/>
          <w:kern w:val="2"/>
          <w:sz w:val="22"/>
          <w:szCs w:val="22"/>
          <w:lang w:val="pl-PL"/>
        </w:rPr>
        <w:t>C2</w:t>
      </w:r>
      <w:r>
        <w:rPr>
          <w:rFonts w:eastAsia="Calibri" w:cs="Calibri" w:ascii="Calibri" w:hAnsi="Calibri"/>
          <w:b/>
          <w:bCs/>
          <w:i/>
          <w:color w:val="000000"/>
          <w:kern w:val="2"/>
          <w:sz w:val="22"/>
          <w:szCs w:val="22"/>
          <w:lang w:val="pl-PL"/>
        </w:rPr>
        <w:t>.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2"/>
          <w:szCs w:val="22"/>
          <w:lang w:val="pl-PL"/>
        </w:rPr>
        <w:t xml:space="preserve"> Dostarczenie studentom aktualnej wiedzy z zakresu neuropsychologii klinicznej, umożliwiającej rozumienie istoty zaburzeń, stanowiących konsekwencje organicznych zmian w ośrodkowym układzie nerwowym (uszkodzenia mózgu).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Ćwiczenia </w:t>
      </w:r>
    </w:p>
    <w:p>
      <w:pPr>
        <w:pStyle w:val="ListParagraph"/>
        <w:numPr>
          <w:ilvl w:val="0"/>
          <w:numId w:val="5"/>
        </w:numPr>
        <w:spacing w:lineRule="auto" w:line="240" w:before="0" w:after="23"/>
        <w:contextualSpacing/>
        <w:jc w:val="both"/>
        <w:rPr>
          <w:rFonts w:ascii="Calibri" w:hAnsi="Calibri" w:eastAsia="Calibri" w:cs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2"/>
          <w:szCs w:val="22"/>
          <w:lang w:val="pl-PL"/>
          <w14:ligatures w14:val="standardContextual"/>
        </w:rPr>
        <w:t>C1.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2"/>
          <w:szCs w:val="22"/>
          <w:lang w:val="pl-PL"/>
          <w14:ligatures w14:val="standardContextual"/>
        </w:rPr>
        <w:t>Nabywanie przez studentów umiejętności praktycznych w diagnostyce i rehabilitacji neuropsychologicznej.</w:t>
      </w:r>
    </w:p>
    <w:p>
      <w:pPr>
        <w:pStyle w:val="ListParagraph"/>
        <w:numPr>
          <w:ilvl w:val="0"/>
          <w:numId w:val="5"/>
        </w:numPr>
        <w:spacing w:lineRule="auto" w:line="240" w:before="0" w:after="23"/>
        <w:contextualSpacing/>
        <w:jc w:val="both"/>
        <w:rPr>
          <w:rFonts w:ascii="Calibri" w:hAnsi="Calibri" w:eastAsia="Calibri" w:cs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bCs/>
          <w:i w:val="false"/>
          <w:iCs w:val="false"/>
          <w:color w:val="000000"/>
          <w:kern w:val="2"/>
          <w:sz w:val="22"/>
          <w:szCs w:val="22"/>
          <w:lang w:val="pl-PL"/>
          <w14:ligatures w14:val="standardContextual"/>
        </w:rPr>
        <w:t>C2</w:t>
      </w:r>
      <w:r>
        <w:rPr>
          <w:rFonts w:eastAsia="Calibri" w:cs="Calibri" w:ascii="Calibri" w:hAnsi="Calibri"/>
          <w:b w:val="false"/>
          <w:bCs w:val="false"/>
          <w:i/>
          <w:color w:val="000000"/>
          <w:kern w:val="2"/>
          <w:sz w:val="22"/>
          <w:szCs w:val="22"/>
          <w:lang w:val="pl-PL"/>
          <w14:ligatures w14:val="standardContextual"/>
        </w:rPr>
        <w:t>.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2"/>
          <w:szCs w:val="22"/>
          <w:lang w:val="pl-PL"/>
          <w14:ligatures w14:val="standardContextual"/>
        </w:rPr>
        <w:t xml:space="preserve"> Rozwijanie przez studentów kompetencji w zakresie kontaktu z pacjentem i jego rodziną, współpracy z innymi </w:t>
      </w:r>
      <w:r>
        <w:rPr>
          <w:rFonts w:eastAsia="Calibri" w:cs="Aptos" w:ascii="Aptos" w:hAnsi="Aptos" w:asciiTheme="minorHAnsi" w:cstheme="minorHAnsi" w:hAnsiTheme="minorHAnsi"/>
          <w:b w:val="false"/>
          <w:bCs w:val="false"/>
          <w:iCs/>
          <w:color w:val="000000"/>
          <w:kern w:val="2"/>
          <w:sz w:val="22"/>
          <w:szCs w:val="22"/>
          <w:lang w:val="pl-PL"/>
          <w14:ligatures w14:val="standardContextual"/>
        </w:rPr>
        <w:t>specjalistami oraz współpracy w zespole rehabilitacyjnym.</w:t>
      </w:r>
    </w:p>
    <w:p>
      <w:pPr>
        <w:pStyle w:val="ListParagraph"/>
        <w:spacing w:before="0" w:after="23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 xml:space="preserve">Treści programowe (z uwzględnieniem formy zajęć) 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Wykłady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rFonts w:cs="Calibri"/>
          <w:color w:val="000000"/>
          <w:sz w:val="22"/>
          <w:szCs w:val="22"/>
        </w:rPr>
        <w:t>Zapoznanie studentów z kartą przedmiotu i warunkami zaliczenia. Neuropsychologia kliniczna, neurolingwistyka i neurosemiotyka.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rFonts w:cs="Calibri"/>
          <w:color w:val="000000"/>
          <w:sz w:val="22"/>
          <w:szCs w:val="22"/>
        </w:rPr>
        <w:t>Anatomia i fizjologia układu nerwowego (skrótowe przypomnienie wiadomości z lat poprzednich). Obszary funkcjonowania poznawczego człowieka.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rFonts w:cs="Calibri"/>
          <w:color w:val="000000"/>
          <w:sz w:val="22"/>
          <w:szCs w:val="22"/>
        </w:rPr>
        <w:t xml:space="preserve">Mózgowa organizacja życia psychicznego i funkcjonowania psychicznego z perspektywy neuropsychologii: pojęcie lokalizacji wyższych czynności nerwowych, czynnościowa charakterystyka struktur mózgowia, asymetria czynnościowa półkul mózgowych.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4. Koncepcja dynamicznych układów funkcjonalnych.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>5. Konsekwencje behawioralne organicznych zmian w ośrodkowym układzie nerwowym o zróżnicowanej charakterystyce lokalizacyjnej i etiologicznej. Neuropsychologiczne konsekwencje organicznych zmian</w:t>
        <w:br/>
        <w:t>w ośrodkowym układzie nerwowym-wybrane zespoły (syndromy).</w:t>
      </w:r>
      <w:r>
        <w:rPr>
          <w:rFonts w:cs="Calibri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6. Metody neuroobrazowania i in. (fMRI, KT, PET, EEG/ERP, TMS).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>7. Diagnoza neuropsychologiczna: metody, techniki i narzędzia badawcze oraz zasady przeprowadzenia badania. Najczęstsze błędy w rozumowaniu diagnostycznym.</w:t>
      </w:r>
      <w:r>
        <w:rPr>
          <w:rFonts w:cs="Calibri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>8. Neuropsychologia kliniczna a neurochirurgia: pacjenci z urazami czaszkowo-mózgowymi, guzami mózgu, anomaliami naczyniowymi mózgu, wodogłowiem, padaczką itp.</w:t>
      </w:r>
      <w:r>
        <w:rPr>
          <w:rFonts w:cs="Calibri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/>
          <w:bCs/>
          <w:color w:val="000000"/>
          <w:sz w:val="22"/>
          <w:szCs w:val="22"/>
        </w:rPr>
        <w:t xml:space="preserve">9. Rehabilitacja neuropsychologiczna: </w:t>
      </w:r>
      <w:r>
        <w:rPr>
          <w:rFonts w:cs="Calibri"/>
          <w:color w:val="000000"/>
          <w:sz w:val="22"/>
          <w:szCs w:val="22"/>
          <w:lang w:bidi="pl-PL"/>
        </w:rPr>
        <w:t xml:space="preserve">Rola psychologa w zespole rehabilitacyjnym.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  <w:lang w:bidi="pl-PL"/>
        </w:rPr>
        <w:t>10. Współpraca z innymi członkami zespołu.</w:t>
      </w:r>
      <w:r>
        <w:rPr>
          <w:rFonts w:cs="Calibri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  <w:lang w:bidi="pl-PL"/>
        </w:rPr>
        <w:t xml:space="preserve">11. Istota i waga kontaktu psychologa z pacjentem i jego bliskimi. 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  <w:lang w:bidi="pl-PL"/>
        </w:rPr>
        <w:t>12. Rola rodziny w procesie rehabilitacji, powrotu pacjenta do społeczeństwa i reintegracji.</w:t>
      </w:r>
      <w:r>
        <w:rPr>
          <w:rFonts w:cs="Calibri" w:ascii="Calibri" w:hAnsi="Calibri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  <w:lang w:bidi="pl-PL"/>
        </w:rPr>
        <w:t xml:space="preserve">13. Ocena skuteczności rehabilitacji neuropsychologicznej.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color w:themeColor="text1" w:val="000000"/>
          <w:sz w:val="22"/>
          <w:szCs w:val="22"/>
          <w:lang w:bidi="pl-PL"/>
        </w:rPr>
        <w:t>14. Procesy samonaprawcze, tzw. neuroplastyczność mózgu.</w:t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lineRule="auto" w:line="269" w:before="0" w:after="0"/>
        <w:ind w:hanging="10" w:start="562"/>
        <w:rPr/>
      </w:pPr>
      <w:r>
        <w:rPr/>
      </w:r>
    </w:p>
    <w:p>
      <w:pPr>
        <w:pStyle w:val="Normal"/>
        <w:spacing w:lineRule="auto" w:line="269" w:before="0" w:after="0"/>
        <w:ind w:hanging="10" w:start="562"/>
        <w:rPr/>
      </w:pPr>
      <w:r>
        <w:rPr>
          <w:b/>
          <w:sz w:val="24"/>
        </w:rPr>
        <w:t xml:space="preserve">Ćwiczenia </w:t>
      </w:r>
    </w:p>
    <w:p>
      <w:pPr>
        <w:pStyle w:val="ListParagraph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contextualSpacing w:val="fals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Zapoznanie studentów z kartą przedmiotu i warunkami zaliczenia.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Funkcje i zaburzenia neuropsychologiczne wywołane uszkodzeniem płatów czołowych. 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Funkcje i zaburzenia neuropsychologiczne wywołane uszkodzeniem płatów skroniowych.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Funkcje i zaburzenia neuropsychologiczne wywołane uszkodzeniem płatów ciemieniowych.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Funkcje i zaburzenia neuropsychologiczne wywołane uszkodzeniem płatów potylicznych.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Funkcje i zaburzenia neuropsychologiczne wywołane uszkodzeniem struktur międzymózgowia.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Diagnoza, terapia i rehabilitacja neuropsychologiczna wybranych zaburzeń.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Zaburzenia procesów uwagi. Zaburzenia funkcji wykonawczych.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Zaburzenia procesów mnestycznych.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Zaburzenia funkcji językowych (m.in. afazje).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Zaburzenia myślenia.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Zaburzenia (samo)świadomości.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Apraksje. Agnozje. </w:t>
      </w:r>
    </w:p>
    <w:p>
      <w:pPr>
        <w:pStyle w:val="ListParagraph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contextualSpacing w:val="false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 xml:space="preserve">Zespół pomijania stronnego.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Zaburzenia osobowości (spowodowane organicznymi zmianami w o.u.n.). 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Kolokwium</w:t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before="0" w:after="24"/>
        <w:ind w:start="491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3"/>
        <w:ind w:hanging="10" w:start="577"/>
        <w:rPr/>
      </w:pPr>
      <w:r>
        <w:rPr>
          <w:b/>
          <w:sz w:val="24"/>
        </w:rPr>
        <w:t xml:space="preserve">Inne </w:t>
      </w:r>
    </w:p>
    <w:p>
      <w:pPr>
        <w:pStyle w:val="Normal"/>
        <w:spacing w:before="0" w:after="22"/>
        <w:ind w:hanging="10" w:start="703"/>
        <w:rPr/>
      </w:pPr>
      <w:r>
        <w:rPr/>
        <w:tab/>
      </w: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tabs>
          <w:tab w:val="clear" w:pos="708"/>
          <w:tab w:val="center" w:pos="658" w:leader="none"/>
          <w:tab w:val="center" w:pos="1133" w:leader="none"/>
        </w:tabs>
        <w:spacing w:before="0" w:after="24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2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Zna terminologię z zakresu neuropsychologii klinicznej, psychopatologii oraz jej odniesienie do innych dyscyplin – nauk społecznych, humanistycznych</w:t>
              <w:br/>
              <w:t xml:space="preserve">i medycznych.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PSYCH_W07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Posiada wiedzę na temat specyfiki metodologii badań neuropsychologicznych oraz dysponuje najnowszą wiedzą pochodzącą z badań neuropsychologicznych</w:t>
              <w:br/>
              <w:t>z zakresu możliwości jej wykorzystania w diagnozie i terapii.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Times New Roman"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Posiada szczegółową znajomość anatomii i funkcjonowania organizmu człowieka w zakresie właściwym dla neuropsychologii.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PSYCH_W08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W03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Zna etiologię i objawy zaburzeń z obszaru neuropsychologii (biologiczny, psychologiczny oraz społeczny kontekst), a także zna metody ich neuropsychologicznej oceny.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PSYCH_W14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Times New Roman"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Potrafi dostrzec problemy natury neuropsychologicznej, dokonać ich analizy, opracować sposoby ich rozwiązania oraz je zweryfikować i wyciągnąć wnioski</w:t>
              <w:br/>
              <w:t>o charakterze teoretycznym i praktycznym.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PSYCH_U07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Posiada umiejętność przedstawiania własnych sposobów wspierania</w:t>
              <w:br/>
              <w:t>i rehabilitacji problemów natury neuropsychologicznej i potrafi te pomysły rozstrzygać w sposób systematyczny zgodnie z metodyką neuropsychologii.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PSYCH_U08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U03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Potrafi rozpoznać potrzeby pacjenta i jego rodziny, dostrzec ich problemy</w:t>
              <w:br/>
              <w:t>w tym zakresie oraz samodzielnie wygenerować pomysły ich rozwiązania, aby ostatecznie opracować dla nich poszczególne etapy pracy neuropsychologicznej.</w:t>
            </w: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PSYCH_U11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Times New Roman"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Potrafi aktywnie wykorzystywać umiejętności z zakresu neuropsychologii klinicznej w pracy psychologa.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K01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Times New Roman" w:cs="Calibri"/>
                <w:color w:val="000000"/>
                <w:kern w:val="2"/>
                <w:sz w:val="21"/>
                <w:szCs w:val="21"/>
                <w:lang w:val="pl-PL" w:eastAsia="pl-PL" w:bidi="ar-SA"/>
              </w:rPr>
              <w:t>Jest gotowy do diagnozy oraz zapewnienia wsparcia psychologicznego, a także do podejmowania profesjonalnych zespołowych zadań, również we współpracy ze specjalistami innych dyscyplin w celu poprawy jakości życia pacjenta</w:t>
              <w:br/>
              <w:t>z zaburzeniami neuropsychologicznymi.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PSYCH_K03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3"/>
        <w:gridCol w:w="1231"/>
        <w:gridCol w:w="1219"/>
        <w:gridCol w:w="1207"/>
        <w:gridCol w:w="1210"/>
        <w:gridCol w:w="1203"/>
        <w:gridCol w:w="1217"/>
        <w:gridCol w:w="1284"/>
      </w:tblGrid>
      <w:tr>
        <w:trPr>
          <w:trHeight w:val="148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Egzamin</w:t>
            </w:r>
          </w:p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pisemny*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(jakie?)* </w:t>
              <w:br/>
              <w:t>Quizy, testy</w:t>
            </w:r>
          </w:p>
        </w:tc>
      </w:tr>
      <w:tr>
        <w:trPr>
          <w:trHeight w:val="24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4"/>
        <w:gridCol w:w="425"/>
        <w:gridCol w:w="425"/>
        <w:gridCol w:w="426"/>
        <w:gridCol w:w="425"/>
        <w:gridCol w:w="425"/>
        <w:gridCol w:w="427"/>
        <w:gridCol w:w="426"/>
        <w:gridCol w:w="425"/>
        <w:gridCol w:w="425"/>
        <w:gridCol w:w="425"/>
        <w:gridCol w:w="426"/>
        <w:gridCol w:w="423"/>
        <w:gridCol w:w="398"/>
        <w:gridCol w:w="426"/>
        <w:gridCol w:w="425"/>
        <w:gridCol w:w="427"/>
        <w:gridCol w:w="425"/>
        <w:gridCol w:w="426"/>
        <w:gridCol w:w="425"/>
        <w:gridCol w:w="425"/>
        <w:gridCol w:w="425"/>
      </w:tblGrid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W04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jc w:val="start"/>
        <w:tblInd w:w="31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61"/>
        <w:gridCol w:w="8881"/>
      </w:tblGrid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color w:val="000000"/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1"/>
                <w:szCs w:val="21"/>
                <w:lang w:val="pl-PL" w:eastAsia="pl-PL" w:bidi="ar-SA"/>
              </w:rPr>
              <w:t>min. 50 % poprawnych odpowiedzi z egzaminu pisemnego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1"/>
                <w:szCs w:val="21"/>
                <w:lang w:val="pl-PL" w:eastAsia="pl-PL" w:bidi="ar-SA"/>
              </w:rPr>
              <w:t>min. 61 % poprawnych odpowiedzi z egzaminu pisemnego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1"/>
                <w:szCs w:val="21"/>
                <w:lang w:val="pl-PL" w:eastAsia="pl-PL" w:bidi="ar-SA"/>
              </w:rPr>
              <w:t>min. 71 % poprawnych odpowiedzi z egzaminu pisemnego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1"/>
                <w:szCs w:val="21"/>
                <w:lang w:val="pl-PL" w:eastAsia="pl-PL" w:bidi="ar-SA"/>
              </w:rPr>
              <w:t>min. 81 % poprawnych odpowiedzi z egzaminu pisemnego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1"/>
                <w:szCs w:val="21"/>
                <w:lang w:val="pl-PL" w:eastAsia="pl-PL" w:bidi="ar-SA"/>
              </w:rPr>
              <w:t>min. 91 % poprawnych odpowiedzi z egzaminu pisemnego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236"/>
        <w:rPr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jc w:val="start"/>
        <w:tblInd w:w="32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3"/>
        <w:gridCol w:w="8873"/>
      </w:tblGrid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2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>Opanował materiał w stopniu podstawowym i uzyskał na kolokwium zaliczeniowym 75</w:t>
            </w:r>
            <w:r>
              <w:rPr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>-80%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odpowiedzi pozytywnych oraz w takim samym procencie zdobył punkty z quizów i testów, wykazał się aktywnością na zajęciach, pracą własną i w grupie.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color w:val="000000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>Opanował materiał w stopniu zadowalającym i uzyskał na kolokwium zaliczeniowym 81</w:t>
            </w:r>
            <w:r>
              <w:rPr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>-85%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odpowiedzi pozytywnych oraz oraz w takim samym procencie zdobył punkty z quizów i testów, wykazał się aktywnością na zajęciach, pracą własną i w grupie.</w:t>
            </w:r>
            <w:r>
              <w:rPr>
                <w:color w:val="000000"/>
                <w:kern w:val="2"/>
                <w:sz w:val="22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color w:val="000000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>Opanował materiał w stopniu dobrym i uzyskał na kolokwium zaliczeniowym 86</w:t>
            </w:r>
            <w:r>
              <w:rPr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>-90%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 odpowiedzi pozytywnych oraz w takim samym procencie zdobył punkty z quizów i testów, wykazał się aktywnością na zajęciach, pracą własną i w grupie.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Opanował materiał w stopniu ponad dobrym i uzyskał na kolokwium zaliczeniowym 91-95% odpowiedzi pozytywnych 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</w:rPr>
              <w:t>oraz w takim samym procencie zdobył punkty z quizów i testów, wykazał się aktywnością na zajęciach, pracą własną i w grupie.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</w:rPr>
              <w:t xml:space="preserve">Opanował materiał w stopniu bardzo dobrym i uzyskał na kolokwium zaliczeniowym </w:t>
            </w:r>
            <w:r>
              <w:rPr>
                <w:iCs/>
                <w:color w:val="000000"/>
                <w:kern w:val="0"/>
                <w:sz w:val="22"/>
                <w:szCs w:val="22"/>
              </w:rPr>
              <w:t>96-100%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</w:rPr>
              <w:t xml:space="preserve"> odpowiedzi pozytywnych oraz w takim samym procencie zdobył punkty z quizów i testów, wykazał się aktywnością na zajęciach, pracą własną i w grupie.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25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ćwiczeniach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</w:tr>
      <w:tr>
        <w:trPr>
          <w:trHeight w:val="601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55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75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Przygotowanie do ćwiczeń*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quizów, testów, pracy własnej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Opracowanie prezentacji multimedialnej/referatu naukowego*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kern w:val="2"/>
                <w:sz w:val="20"/>
                <w:szCs w:val="24"/>
                <w:lang w:val="pl-PL" w:eastAsia="pl-PL" w:bidi="ar-SA"/>
              </w:rPr>
              <w:t>(jakie?)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- 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100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4</w:t>
            </w:r>
          </w:p>
        </w:tc>
      </w:tr>
    </w:tbl>
    <w:p>
      <w:pPr>
        <w:pStyle w:val="Normal"/>
        <w:spacing w:before="0" w:after="0"/>
        <w:ind w:start="254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Arial">
    <w:charset w:val="ee" w:characterSet="windows-1250"/>
    <w:family w:val="swiss"/>
    <w:pitch w:val="variable"/>
  </w:font>
  <w:font w:name="Aptos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10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7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9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1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3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5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7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9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13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character" w:styleId="Emphasis">
    <w:name w:val="Emphasis"/>
    <w:qFormat/>
    <w:rPr>
      <w:i/>
      <w:iCs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paragraph" w:styleId="Liniapoziomauser">
    <w:name w:val="Linia poziom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LibreOffice/26.2.4.2$Windows_X86_64 LibreOffice_project/0229ac93fcf0d7cbc6376066c6f35021cef002dc</Application>
  <AppVersion>15.0000</AppVersion>
  <Pages>5</Pages>
  <Words>1501</Words>
  <Characters>9769</Characters>
  <CharactersWithSpaces>11046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2026-06-28T15:07:02Z</dcterms:modified>
  <cp:revision>10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