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>
          <w:sz w:val="24"/>
        </w:rPr>
      </w:pPr>
      <w:r>
        <w:rPr>
          <w:sz w:val="24"/>
        </w:rPr>
        <w:t>Załącznik nr 4 do zarządzenia nr 189/2025</w:t>
      </w:r>
    </w:p>
    <w:p>
      <w:pPr>
        <w:pStyle w:val="Heading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</w:rPr>
        <w:t>PRZEDMIOTU (ZAJĘĆ)</w:t>
      </w:r>
    </w:p>
    <w:p>
      <w:pPr>
        <w:pStyle w:val="BodyText"/>
        <w:tabs>
          <w:tab w:val="clear" w:pos="720"/>
          <w:tab w:val="left" w:pos="10065" w:leader="dot"/>
        </w:tabs>
        <w:spacing w:lineRule="auto" w:line="240" w:before="240" w:after="240"/>
        <w:ind w:start="425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Kod przedmiotu (zajęć): 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0313.3.PSY.F13.PPzEPDiM</w:t>
      </w:r>
    </w:p>
    <w:p>
      <w:pPr>
        <w:pStyle w:val="BodyText"/>
        <w:tabs>
          <w:tab w:val="clear" w:pos="720"/>
          <w:tab w:val="left" w:pos="10065" w:leader="dot"/>
        </w:tabs>
        <w:spacing w:lineRule="auto" w:line="240" w:before="240" w:after="240"/>
        <w:ind w:start="425"/>
        <w:jc w:val="both"/>
        <w:rPr/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 xml:space="preserve">Nazwa przedmiotu </w:t>
      </w:r>
      <w:bookmarkStart w:id="0" w:name="_Hlk210305669"/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 xml:space="preserve">(zajęć) </w:t>
      </w:r>
      <w:bookmarkEnd w:id="0"/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 xml:space="preserve">w języku polskim:  </w:t>
      </w:r>
      <w:r>
        <w:rPr>
          <w:rFonts w:cs="Calibri" w:ascii="Calibri" w:hAnsi="Calibri" w:cstheme="minorHAnsi"/>
          <w:b w:val="false"/>
          <w:bCs w:val="false"/>
          <w:color w:themeColor="text1" w:val="000000"/>
          <w:sz w:val="20"/>
          <w:szCs w:val="20"/>
        </w:rPr>
        <w:t>Pomoc psychologiczna z elementami psychoterapii dzieci i młodzieży</w:t>
      </w:r>
    </w:p>
    <w:p>
      <w:pPr>
        <w:pStyle w:val="Styl1"/>
        <w:spacing w:lineRule="auto" w:line="240"/>
        <w:ind w:firstLine="426"/>
        <w:jc w:val="both"/>
        <w:rPr/>
      </w:pPr>
      <w:r>
        <w:rPr>
          <w:rFonts w:cs="Calibri" w:cstheme="minorHAnsi"/>
          <w:b/>
          <w:bCs/>
          <w:i w:val="false"/>
          <w:iCs/>
          <w:color w:themeColor="text1" w:val="000000"/>
        </w:rPr>
        <w:t xml:space="preserve">Nazwa przedmiotu (zajęć) w języku angielskim: </w:t>
      </w:r>
      <w:r>
        <w:rPr>
          <w:rFonts w:cs="Calibri" w:cstheme="minorHAnsi"/>
          <w:b w:val="false"/>
          <w:bCs w:val="false"/>
          <w:i w:val="false"/>
          <w:iCs/>
          <w:color w:themeColor="text1" w:val="000000"/>
          <w:sz w:val="24"/>
          <w:szCs w:val="24"/>
          <w:lang w:val="en-US"/>
        </w:rPr>
        <w:t xml:space="preserve">Psychological support elements of psychotherapy with           </w:t>
        <w:tab/>
        <w:t>children and adolescents</w:t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hanging="357" w:start="845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4738"/>
        <w:gridCol w:w="5009"/>
      </w:tblGrid>
      <w:tr>
        <w:trPr>
          <w:trHeight w:val="282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Psychologia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Jednolite magisterskie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dr Agnieszka Mazur</w:t>
            </w:r>
          </w:p>
        </w:tc>
      </w:tr>
      <w:tr>
        <w:trPr>
          <w:trHeight w:val="285" w:hRule="atLeast"/>
        </w:trPr>
        <w:tc>
          <w:tcPr>
            <w:tcW w:w="4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agnieszka.mazur@ujk.edu.pl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7"/>
        <w:gridCol w:w="6280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57" w:start="48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208" w:end="183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Pozytywna ocena z Psychologii rozwoju dzieci i młodzieży, Psychologii społecznej, Psychologii klinicznej, Psychopatologii dzieci i młodzieży, Komunikacji interpersonalnej, Diagnozy psychologicznej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2"/>
        <w:gridCol w:w="6284"/>
      </w:tblGrid>
      <w:tr>
        <w:trPr>
          <w:trHeight w:val="285" w:hRule="atLeast"/>
        </w:trPr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zajęć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31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>Wykład, ćwiczenia</w:t>
            </w:r>
          </w:p>
        </w:tc>
      </w:tr>
      <w:tr>
        <w:trPr>
          <w:trHeight w:val="282" w:hRule="atLeast"/>
        </w:trPr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Pomieszczenia dydaktyczne UJK</w:t>
            </w:r>
          </w:p>
        </w:tc>
      </w:tr>
      <w:tr>
        <w:trPr>
          <w:trHeight w:val="285" w:hRule="atLeast"/>
        </w:trPr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Egzamin pisemny</w:t>
            </w: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 xml:space="preserve"> (w); zaliczenie z oceną (ćw.)</w:t>
            </w:r>
          </w:p>
        </w:tc>
      </w:tr>
      <w:tr>
        <w:trPr>
          <w:trHeight w:val="282" w:hRule="atLeast"/>
        </w:trPr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>Wykład. Prezentacja multimedialna. D</w:t>
            </w: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  <w:sz w:val="22"/>
                <w:szCs w:val="22"/>
              </w:rPr>
              <w:t>yskusja dydaktyczna.</w:t>
            </w:r>
          </w:p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>Ćwiczenia: 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2"/>
                <w:szCs w:val="22"/>
              </w:rPr>
              <w:t>naliza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2"/>
                <w:szCs w:val="22"/>
              </w:rPr>
              <w:t>przypadku. Praca w grupach. D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yskusja grupowa</w:t>
            </w:r>
          </w:p>
        </w:tc>
      </w:tr>
      <w:tr>
        <w:trPr>
          <w:trHeight w:val="285" w:hRule="atLeast"/>
        </w:trPr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1.  Bray, J. H., Stanton, M. (2012).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>The Wiley–Blackwell handbook of family psychology.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 JW&amp;S.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2. Bryńska, A. (2018). Zastosowanie terapii behawioralnej </w:t>
              <w:br/>
              <w:t xml:space="preserve">i poznawczej w leczeniu zaburzeń psychicznych dzieci i młodzieży. W: A. Gmitrowicz i M. Janas-Kozik (red.),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>Zaburzenia psychiczne dzieci</w:t>
              <w:br/>
              <w:t xml:space="preserve">i młodzieży </w:t>
            </w:r>
            <w:r>
              <w:rPr>
                <w:rFonts w:cs="Calibri" w:ascii="Calibri" w:hAnsi="Calibri" w:asciiTheme="minorHAnsi" w:cstheme="minorHAnsi" w:hAnsiTheme="minorHAnsi"/>
                <w:i w:val="false"/>
                <w:iCs w:val="false"/>
                <w:kern w:val="0"/>
                <w:sz w:val="22"/>
                <w:szCs w:val="22"/>
                <w:lang w:val="pl-PL"/>
              </w:rPr>
              <w:t>(605-613)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. MTP.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start="0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3.  Deptuła M., Potorska A., Borsich S. (2018).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 xml:space="preserve">Wczesna profilaktyka problemów w rozwoju psychospołecznym i ryzykownych zachowań dzieci i młodzieży.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PWN.</w:t>
            </w:r>
          </w:p>
          <w:p>
            <w:pPr>
              <w:pStyle w:val="Bodytext31"/>
              <w:numPr>
                <w:ilvl w:val="0"/>
                <w:numId w:val="0"/>
              </w:numPr>
              <w:shd w:val="clear" w:color="auto" w:fill="auto"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hanging="0" w:start="0" w:end="20"/>
              <w:jc w:val="both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2"/>
                <w:szCs w:val="22"/>
                <w:lang w:val="pl-PL"/>
              </w:rPr>
              <w:t xml:space="preserve">4. Pisula, E., Danielewicz, D. (2022).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themeColor="text1" w:val="000000"/>
                <w:kern w:val="0"/>
                <w:sz w:val="22"/>
                <w:szCs w:val="22"/>
                <w:lang w:val="pl-PL"/>
              </w:rPr>
              <w:t xml:space="preserve">Wybrane formy terapii </w:t>
              <w:br/>
              <w:t>i rehabilitacji osób z autyzmem.</w:t>
            </w:r>
            <w:r>
              <w:rPr>
                <w:rFonts w:cs="Calibri" w:ascii="Calibri" w:hAnsi="Calibri" w:asciiTheme="minorHAnsi" w:cstheme="minorHAnsi" w:hAnsiTheme="minorHAnsi"/>
                <w:color w:themeColor="text1" w:val="000000"/>
                <w:kern w:val="0"/>
                <w:sz w:val="22"/>
                <w:szCs w:val="22"/>
                <w:lang w:val="pl-PL"/>
              </w:rPr>
              <w:t xml:space="preserve"> OWI.</w:t>
            </w:r>
          </w:p>
        </w:tc>
      </w:tr>
      <w:tr>
        <w:trPr>
          <w:trHeight w:val="285" w:hRule="atLeast"/>
        </w:trPr>
        <w:tc>
          <w:tcPr>
            <w:tcW w:w="3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1"/>
              <w:shd w:val="clear" w:color="auto" w:fill="auto"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hanging="0" w:end="20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1. Chatizof, J. (2018).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>Depresja i samobójstwa dzieci i młodzieży: Żyć, nie umierać – poradnik dla rodziców i nauczycieli.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 Difin.</w:t>
            </w:r>
          </w:p>
          <w:p>
            <w:pPr>
              <w:pStyle w:val="Bodytext31"/>
              <w:shd w:val="clear" w:color="auto" w:fill="auto"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hanging="0" w:end="20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2. Chrząstowski, S. (2014).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 xml:space="preserve">Nie tylko schemat: Praktyka systemowej terapii rodzin.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Paradygmat.</w:t>
            </w:r>
          </w:p>
          <w:p>
            <w:pPr>
              <w:pStyle w:val="Bodytext31"/>
              <w:shd w:val="clear" w:color="auto" w:fill="auto"/>
              <w:tabs>
                <w:tab w:val="clear" w:pos="720"/>
                <w:tab w:val="left" w:pos="567" w:leader="none"/>
              </w:tabs>
              <w:suppressAutoHyphens w:val="true"/>
              <w:spacing w:lineRule="auto" w:line="240" w:before="0" w:after="0"/>
              <w:ind w:hanging="0" w:end="20"/>
              <w:rPr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3. Schier, K. (2014).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  <w:lang w:val="pl-PL"/>
              </w:rPr>
              <w:t>Dorosłe dzieci: Psychologiczna problematyka odwrócenia ról w rodzinie.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 xml:space="preserve"> Warszawa: WNS.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Cele przedmiotu (zajęć) (z uwzględnieniem formy zajęć)</w:t>
      </w:r>
    </w:p>
    <w:p>
      <w:pPr>
        <w:pStyle w:val="TableParagraph"/>
        <w:snapToGrid w:val="false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cstheme="minorHAnsi" w:ascii="Calibri" w:hAnsi="Calibri"/>
          <w:b/>
          <w:iCs/>
          <w:color w:themeColor="text1" w:val="000000"/>
          <w:sz w:val="20"/>
          <w:szCs w:val="20"/>
        </w:rPr>
      </w:r>
    </w:p>
    <w:p>
      <w:pPr>
        <w:pStyle w:val="TableParagraph"/>
        <w:snapToGrid w:val="false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WYKŁAD</w:t>
      </w:r>
    </w:p>
    <w:p>
      <w:pPr>
        <w:pStyle w:val="ListParagraph"/>
        <w:numPr>
          <w:ilvl w:val="0"/>
          <w:numId w:val="7"/>
        </w:numPr>
        <w:ind w:hanging="360" w:start="992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Zap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oznanie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się z istotą pomocy psychologicznej oraz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z jej podstawowymi postaciami (szczególnie psychoterapią). 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>C2.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 xml:space="preserve"> W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ykształcenie umiejętności dostosowywania odpowiednich form pomocy psychologicznej do określonych rodzajów nieprawidłowości i zaburzeń funkcjonowania psychicznego dzieci i młodzieży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  <w:sz w:val="22"/>
          <w:szCs w:val="22"/>
        </w:rPr>
        <w:t>C3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. U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kształtowanie postawy otwartości i życzliwości wobec dzieci i młodzieży z zaburzeniami psychicz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nymi</w:t>
        <w:br/>
        <w:t>i ich rodzin</w:t>
      </w: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>.</w:t>
      </w:r>
    </w:p>
    <w:p>
      <w:pPr>
        <w:pStyle w:val="TableParagraph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cstheme="minorHAnsi" w:ascii="Calibri" w:hAnsi="Calibri"/>
          <w:b/>
          <w:iCs/>
          <w:color w:themeColor="text1" w:val="000000"/>
          <w:sz w:val="20"/>
          <w:szCs w:val="20"/>
        </w:rPr>
      </w:r>
    </w:p>
    <w:p>
      <w:pPr>
        <w:pStyle w:val="TableParagraph"/>
        <w:tabs>
          <w:tab w:val="clear" w:pos="720"/>
        </w:tabs>
        <w:ind w:hanging="363" w:start="992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ĆWICZENIA</w:t>
      </w:r>
    </w:p>
    <w:p>
      <w:pPr>
        <w:pStyle w:val="ListParagraph"/>
        <w:numPr>
          <w:ilvl w:val="0"/>
          <w:numId w:val="7"/>
        </w:numPr>
        <w:tabs>
          <w:tab w:val="clear" w:pos="720"/>
        </w:tabs>
        <w:ind w:hanging="363" w:start="992"/>
        <w:jc w:val="both"/>
        <w:rPr/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>C1.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2"/>
          <w:szCs w:val="22"/>
        </w:rPr>
        <w:t xml:space="preserve"> Z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apoznanie się z różnymi formami oddziaływań psychokorekcyjnych odpowiednio do rodzaju problemu (zaburzenia).   </w:t>
      </w:r>
    </w:p>
    <w:p>
      <w:pPr>
        <w:pStyle w:val="TableParagraph"/>
        <w:numPr>
          <w:ilvl w:val="0"/>
          <w:numId w:val="3"/>
        </w:numPr>
        <w:tabs>
          <w:tab w:val="clear" w:pos="720"/>
        </w:tabs>
        <w:ind w:hanging="363" w:start="992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C2.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abycie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umiejętności obserwowania i interpretowania dynamiki zmian w funkcjonowaniu  psychicznym dzieci i młodzieży w trakcie oddziaływań psychokorekcyjnych.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C3.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wrażliwienie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na indywidualne różnice (czynniki ryzyka i zasoby) w funkcjonowaniu psychicznym dzieci i młodzieży w aspekcie oddziaływań pomocowych.</w:t>
      </w:r>
    </w:p>
    <w:p>
      <w:pPr>
        <w:pStyle w:val="TableParagraph"/>
        <w:spacing w:lineRule="auto" w:line="276"/>
        <w:ind w:start="709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2"/>
          <w:szCs w:val="22"/>
        </w:rPr>
      </w:pPr>
      <w:r>
        <w:rPr>
          <w:rFonts w:cs="Calibri" w:cstheme="minorHAnsi" w:ascii="Calibri" w:hAnsi="Calibri"/>
          <w:b/>
          <w:iCs/>
          <w:color w:themeColor="text1" w:val="000000"/>
          <w:sz w:val="22"/>
          <w:szCs w:val="22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Treści programowe (z uwzględnieniem formy zajęć)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Wykłady</w:t>
      </w:r>
    </w:p>
    <w:p>
      <w:pPr>
        <w:pStyle w:val="Normal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Zapoznanie z kartą przedmiotu i warunkami zaliczenia. Kierunki i rodzaje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pomocy psychologicznej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br/>
        <w:t>w odniesieniu do dwóch grup zaburzeń funkcjonowania psychicznego dzieci i młodzieży.</w:t>
      </w:r>
    </w:p>
    <w:p>
      <w:pPr>
        <w:pStyle w:val="Normal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Wczesna interwencja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 wspomaganie rozwoju jako forma pomocy psychologicznej stosowana</w:t>
        <w:br/>
        <w:t>w zaburzeniach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rozwojowych.</w:t>
      </w:r>
    </w:p>
    <w:p>
      <w:pPr>
        <w:pStyle w:val="Normal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Poradnictwo i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psychoterapia jako forma pomocy psychologicznej stosowana w zaburzeniach behawioralnych i intrapsychicznych.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 xml:space="preserve">Pojęcie rozwoju jako podstawa działań prewencyjnych.             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 xml:space="preserve">Interwencja kryzysowa wobec dzieci i młodzieży.       </w:t>
      </w:r>
    </w:p>
    <w:p>
      <w:pPr>
        <w:pStyle w:val="Normal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Wybór określonych rodzajów pomocy psychologicznej odpowiednio do problematyki dzieci, młodzieży</w:t>
        <w:br/>
        <w:t>i ich rodzin – oddziaływania bezpośrednie i pośrednie.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Modyfikacja zachowania, terapia zabawą, terapia przez ruch, terapia przez sztukę jako metody psychoterapii dzieci i młodzieży.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 xml:space="preserve">Podejście poznawczo-behawioralne w terapii dzieci i młodzieży. 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 xml:space="preserve">Podejście psychoanalityczne w terapii dzieci i młodzieży. 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Terapia zorientowana na zasoby i terapia zorientowana na braki.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Indywidualna i grupowa terapia dzieci i młodzieży.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 xml:space="preserve">Podejście systemowe w terapii dzieci i młodzieży. 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Terapia rodzinna – ujęcie strukturalne.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Terapia rodzinna – ujęcie komunikacyjne.</w:t>
      </w:r>
    </w:p>
    <w:p>
      <w:pPr>
        <w:pStyle w:val="Normal"/>
        <w:numPr>
          <w:ilvl w:val="0"/>
          <w:numId w:val="8"/>
        </w:numPr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Socjoterapia dzieci i młodzieży.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ab/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Ćwiczenia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Zapoznanie z kartą przedmiotu i warunkami zaliczenia. Charakterystyka poszczególnych rodzajów pomocy psychologicznej stosowanych wobec dzieci, młodzieży i ich rodzin.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Wsparcie społeczne jako metoda ujmowania prewencji.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Diagnoza problemu, wskazanie czynników podtrzymujących istnienie problemu oraz poszukiwanie nowych sposobów rozwiązania trudności w poradnictwie psychologicznym.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Wspomaganie rozwoju i modyfikacja zachowań w całościowych zaburzeniach rozwojowych</w:t>
        <w:br/>
        <w:t>i niepełnosprawności intelektualnej.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Psychospołeczne podejście do terapii ADHD.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Oddziaływania psychoterapeutyczne w zaburzeniach nerwicowych – fobii szkolnej.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Oddziaływania psychoterapeutyczne w zaburzeniach zachowania.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Oddziaływania psychoterapeutyczne w zaburzeniach odżywiania.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Oddziaływania psychoterapeutyczne w zaburzeniach depresyjnych dzieci i młodzieży.</w:t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Psychoedukacja dla rodziców.</w:t>
      </w:r>
    </w:p>
    <w:p>
      <w:pPr>
        <w:pStyle w:val="Normal"/>
        <w:numPr>
          <w:ilvl w:val="1"/>
          <w:numId w:val="10"/>
        </w:numPr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  <w:t>Nawiązanie kontaktu z osobą zgłaszającą problem i identyfikacja rzeczywistego problemu –  ćwiczenia praktyczne i omówienie.</w:t>
      </w:r>
    </w:p>
    <w:p>
      <w:pPr>
        <w:pStyle w:val="Normal"/>
        <w:numPr>
          <w:ilvl w:val="0"/>
          <w:numId w:val="0"/>
        </w:numPr>
        <w:spacing w:lineRule="auto" w:line="240"/>
        <w:ind w:hanging="0" w:start="1107"/>
        <w:jc w:val="both"/>
        <w:rPr>
          <w:rFonts w:ascii="Calibri" w:hAnsi="Calibri"/>
        </w:rPr>
      </w:pPr>
      <w:r>
        <w:rPr>
          <w:rFonts w:ascii="Calibri" w:hAnsi="Calibri"/>
        </w:rPr>
        <w:br/>
        <w:br/>
      </w:r>
      <w:r>
        <w:rPr>
          <w:rFonts w:ascii="Calibri" w:hAnsi="Calibri"/>
          <w:b/>
          <w:sz w:val="24"/>
          <w:szCs w:val="24"/>
        </w:rPr>
        <w:t>Inne</w:t>
      </w:r>
    </w:p>
    <w:p>
      <w:pPr>
        <w:pStyle w:val="Normal"/>
        <w:numPr>
          <w:ilvl w:val="0"/>
          <w:numId w:val="0"/>
        </w:numPr>
        <w:tabs/>
        <w:spacing w:before="0" w:after="22"/>
        <w:ind w:hanging="0" w:start="110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(w tym zajęcia prowadzone z wykorzystaniem metod i technik kształcenia na odległość) </w:t>
      </w:r>
    </w:p>
    <w:p>
      <w:pPr>
        <w:pStyle w:val="Normal"/>
        <w:numPr>
          <w:ilvl w:val="0"/>
          <w:numId w:val="0"/>
        </w:numPr>
        <w:spacing w:lineRule="auto" w:line="240"/>
        <w:ind w:hanging="0" w:start="1107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1.</w:t>
      </w:r>
      <w:r>
        <w:rPr>
          <w:rFonts w:eastAsia="Arial" w:ascii="Calibri" w:hAnsi="Calibri"/>
          <w:sz w:val="24"/>
          <w:szCs w:val="24"/>
        </w:rPr>
        <w:t xml:space="preserve"> nie dotyczy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TableParagraph"/>
        <w:ind w:start="1107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bookmarkStart w:id="1" w:name="_GoBack"/>
      <w:bookmarkEnd w:id="1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4"/>
        <w:gridCol w:w="6831"/>
        <w:gridCol w:w="1773"/>
      </w:tblGrid>
      <w:tr>
        <w:trPr>
          <w:trHeight w:val="980" w:hRule="atLeast"/>
        </w:trPr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8"/>
        <w:gridCol w:w="6830"/>
        <w:gridCol w:w="1778"/>
      </w:tblGrid>
      <w:tr>
        <w:trPr>
          <w:trHeight w:val="282" w:hRule="atLeast"/>
        </w:trPr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Ma pogłębioną wiedzę z zakresu procesów psychicznych, rozwoju człowieka w cyklu życia w aspekcie psychologicznym oraz roli więzi społecznych</w:t>
              <w:br/>
              <w:t>w odniesieniu do problemów rozwojowych dzieci i młodzieży, oddziaływań profilaktycznych i terapeutycznych.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PSYCH_W13</w:t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Ma pogłębioną wiedzę o relacjach między strukturami i instytucjami społecznymi oraz o rodzajach więzi społecznych z punktu widzenia pomocy psychologicznej. 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center" w:pos="881" w:leader="none"/>
              </w:tabs>
              <w:suppressAutoHyphens w:val="true"/>
              <w:spacing w:before="0" w:after="0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ab/>
              <w:t>PSYCH_W12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2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</w:rPr>
              <w:t>W03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Zna etiologię i objawy zaburzeń wieku rozwojowego, ich społeczny kontekst, metody ich psychologicznej oceny.</w:t>
            </w:r>
          </w:p>
        </w:tc>
        <w:tc>
          <w:tcPr>
            <w:tcW w:w="17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PSYCH_W14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39"/>
        <w:gridCol w:w="6826"/>
        <w:gridCol w:w="1773"/>
      </w:tblGrid>
      <w:tr>
        <w:trPr>
          <w:trHeight w:val="285" w:hRule="atLeast"/>
        </w:trPr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U01</w:t>
            </w:r>
          </w:p>
        </w:tc>
        <w:tc>
          <w:tcPr>
            <w:tcW w:w="6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porozumiewać się werbalnie i niewerbalnie ze specjalistami oraz niespecjalistami w aspekcie problemów rozwojowych dzieci i młodzieży.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PSYCH_U03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282" w:hRule="atLeast"/>
        </w:trPr>
        <w:tc>
          <w:tcPr>
            <w:tcW w:w="12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U02</w:t>
            </w:r>
          </w:p>
        </w:tc>
        <w:tc>
          <w:tcPr>
            <w:tcW w:w="6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rozpoznać potrzeby pacjenta dziecka czy członków rodziny, dostrzec ich problemy oraz sformułować plan oddziaływań pomocowych odpowiednio do problemów rozwojowych dzieci, młodzieży i ich rodzin.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PSYCH_U11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8"/>
        <w:gridCol w:w="6830"/>
        <w:gridCol w:w="1778"/>
      </w:tblGrid>
      <w:tr>
        <w:trPr>
          <w:trHeight w:val="282" w:hRule="atLeast"/>
        </w:trPr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Aktywnie i przedsiębiorczo potrafi wykorzystywać umiejętności w obszarze wykonywanego zawodu w zakresie pomocy psychologicznej wobec dzieci i młodzieży z problemami rozwojowymi i ich rodzinami.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PSYCH_K01</w:t>
            </w:r>
          </w:p>
        </w:tc>
      </w:tr>
      <w:tr>
        <w:trPr>
          <w:trHeight w:val="352" w:hRule="atLeast"/>
        </w:trPr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Dba o przestrzeganie zasad etyki w obszarze problemów rozwojowych dzieci i młodzieży, relacji pomocowych z nimi i ich rodzinami.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PSYCH_K06</w:t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 w:end="-2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41"/>
        <w:gridCol w:w="1232"/>
        <w:gridCol w:w="1228"/>
        <w:gridCol w:w="1228"/>
        <w:gridCol w:w="1223"/>
        <w:gridCol w:w="1228"/>
        <w:gridCol w:w="1229"/>
        <w:gridCol w:w="1232"/>
      </w:tblGrid>
      <w:tr>
        <w:trPr/>
        <w:tc>
          <w:tcPr>
            <w:tcW w:w="1241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0" w:end="-11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2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Egzamin </w:t>
              <w:br/>
              <w:t>pisemny</w:t>
              <w:br/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32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0"/>
                <w:szCs w:val="20"/>
              </w:rPr>
              <w:t>(jakie?)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32"/>
        <w:gridCol w:w="408"/>
        <w:gridCol w:w="414"/>
        <w:gridCol w:w="404"/>
        <w:gridCol w:w="409"/>
        <w:gridCol w:w="414"/>
        <w:gridCol w:w="404"/>
        <w:gridCol w:w="409"/>
        <w:gridCol w:w="414"/>
        <w:gridCol w:w="404"/>
        <w:gridCol w:w="409"/>
        <w:gridCol w:w="413"/>
        <w:gridCol w:w="406"/>
        <w:gridCol w:w="407"/>
        <w:gridCol w:w="414"/>
        <w:gridCol w:w="407"/>
        <w:gridCol w:w="406"/>
        <w:gridCol w:w="414"/>
        <w:gridCol w:w="408"/>
        <w:gridCol w:w="405"/>
        <w:gridCol w:w="414"/>
        <w:gridCol w:w="409"/>
      </w:tblGrid>
      <w:tr>
        <w:trPr/>
        <w:tc>
          <w:tcPr>
            <w:tcW w:w="123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end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2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2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W02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2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kern w:val="0"/>
                <w:sz w:val="20"/>
                <w:szCs w:val="20"/>
              </w:rPr>
              <w:t>W03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sz w:val="21"/>
                <w:szCs w:val="21"/>
              </w:rPr>
              <w:t>X</w:t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2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2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U02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2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2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0"/>
                <w:szCs w:val="20"/>
              </w:rPr>
              <w:t>K02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3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5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BodyText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cstheme="minorHAnsi" w:ascii="Calibri" w:hAnsi="Calibri"/>
          <w:b w:val="false"/>
          <w:bCs w:val="false"/>
          <w:iCs/>
          <w:color w:themeColor="text1" w:val="000000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WYKŁAD (W)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61"/>
        <w:gridCol w:w="8878"/>
      </w:tblGrid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50-60%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61-70%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71-80%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81-90%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91-100% możliwych punktów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48"/>
        <w:gridCol w:w="8875"/>
      </w:tblGrid>
      <w:tr>
        <w:trPr/>
        <w:tc>
          <w:tcPr>
            <w:tcW w:w="94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5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zadowalającym/podstawowym i uzyskał na kolokwium zaliczeniowym 50-60% odpowiedzi pozytywnych oraz wykazał się podstawową aktywnością na zajęciach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5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zadowalającym i uzyskał na kolokwium zaliczeniowym 61-70% odpowiedzi pozytywnych oraz wykazał się zadowalającą aktywnością na zajęciach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5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dobrym i uzyskał na kolokwium zaliczeniowym 71-80% odpowiedzi pozytywnych oraz wykazał się  aktywnością na zajęciach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5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ponad dobrym i uzyskał na kolokwium zaliczeniowym 81-90% odpowiedzi pozytywnych oraz wykazał się dużą aktywnością na zajęciach</w:t>
            </w:r>
          </w:p>
        </w:tc>
      </w:tr>
      <w:tr>
        <w:trPr/>
        <w:tc>
          <w:tcPr>
            <w:tcW w:w="94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5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Opanował materiał w stopniu bardzo dobrym i uzyskał na kolokwium zaliczeniowym 91-100% odpowiedzi pozytywnych oraz wykazał się bardzo dobrą aktywnością na zajęciach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pacing w:lineRule="auto" w:line="276" w:before="240" w:after="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494"/>
        <w:gridCol w:w="2177"/>
        <w:gridCol w:w="2173"/>
      </w:tblGrid>
      <w:tr>
        <w:trPr>
          <w:trHeight w:val="460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60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wykładach*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65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95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wykładu*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40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40</w:t>
            </w:r>
          </w:p>
        </w:tc>
      </w:tr>
      <w:tr>
        <w:trPr>
          <w:trHeight w:val="282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</w:tr>
    </w:tbl>
    <w:p>
      <w:pPr>
        <w:pStyle w:val="Normal"/>
        <w:spacing w:lineRule="auto" w:line="276" w:before="360" w:after="120"/>
        <w:ind w:start="255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90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0"/>
        <w:szCs w:val="20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30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609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82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03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182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397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5760" w:hanging="1440"/>
      </w:pPr>
      <w:rPr/>
    </w:lvl>
  </w:abstractNum>
  <w:abstractNum w:abstractNumId="3">
    <w:lvl w:ilvl="0">
      <w:start w:val="1"/>
      <w:numFmt w:val="bullet"/>
      <w:lvlText w:val="•"/>
      <w:lvlJc w:val="start"/>
      <w:pPr>
        <w:tabs>
          <w:tab w:val="num" w:pos="0"/>
        </w:tabs>
        <w:ind w:star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75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2.%1."/>
      <w:lvlJc w:val="start"/>
      <w:pPr>
        <w:tabs>
          <w:tab w:val="num" w:pos="0"/>
        </w:tabs>
        <w:ind w:start="8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87" w:hanging="180"/>
      </w:pPr>
      <w:rPr/>
    </w:lvl>
  </w:abstractNum>
  <w:abstractNum w:abstractNumId="5">
    <w:lvl w:ilvl="0">
      <w:start w:val="1"/>
      <w:numFmt w:val="decimal"/>
      <w:lvlText w:val="3.%1."/>
      <w:lvlJc w:val="start"/>
      <w:pPr>
        <w:tabs>
          <w:tab w:val="num" w:pos="0"/>
        </w:tabs>
        <w:ind w:start="93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927" w:hanging="360"/>
      </w:pPr>
      <w:rPr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10">
    <w:lvl w:ilvl="0">
      <w:start w:val="11"/>
      <w:numFmt w:val="decimal"/>
      <w:lvlText w:val="%1-"/>
      <w:lvlJc w:val="start"/>
      <w:pPr>
        <w:tabs>
          <w:tab w:val="num" w:pos="0"/>
        </w:tabs>
        <w:ind w:start="540" w:hanging="540"/>
      </w:pPr>
      <w:rPr/>
    </w:lvl>
    <w:lvl w:ilvl="1">
      <w:start w:val="15"/>
      <w:numFmt w:val="decimal"/>
      <w:lvlText w:val="%1-%2."/>
      <w:lvlJc w:val="start"/>
      <w:pPr>
        <w:tabs>
          <w:tab w:val="num" w:pos="0"/>
        </w:tabs>
        <w:ind w:start="1107" w:hanging="540"/>
      </w:pPr>
      <w:rPr/>
    </w:lvl>
    <w:lvl w:ilvl="2">
      <w:start w:val="1"/>
      <w:numFmt w:val="decimal"/>
      <w:lvlText w:val="%1-%2.%3."/>
      <w:lvlJc w:val="start"/>
      <w:pPr>
        <w:tabs>
          <w:tab w:val="num" w:pos="0"/>
        </w:tabs>
        <w:ind w:start="1854" w:hanging="720"/>
      </w:pPr>
      <w:rPr/>
    </w:lvl>
    <w:lvl w:ilvl="3">
      <w:start w:val="1"/>
      <w:numFmt w:val="decimal"/>
      <w:lvlText w:val="%1-%2.%3.%4."/>
      <w:lvlJc w:val="start"/>
      <w:pPr>
        <w:tabs>
          <w:tab w:val="num" w:pos="0"/>
        </w:tabs>
        <w:ind w:start="2421" w:hanging="720"/>
      </w:pPr>
      <w:rPr/>
    </w:lvl>
    <w:lvl w:ilvl="4">
      <w:start w:val="1"/>
      <w:numFmt w:val="decimal"/>
      <w:lvlText w:val="%1-%2.%3.%4.%5."/>
      <w:lvlJc w:val="start"/>
      <w:pPr>
        <w:tabs>
          <w:tab w:val="num" w:pos="0"/>
        </w:tabs>
        <w:ind w:start="3348" w:hanging="1080"/>
      </w:pPr>
      <w:rPr/>
    </w:lvl>
    <w:lvl w:ilvl="5">
      <w:start w:val="1"/>
      <w:numFmt w:val="decimal"/>
      <w:lvlText w:val="%1-%2.%3.%4.%5.%6."/>
      <w:lvlJc w:val="start"/>
      <w:pPr>
        <w:tabs>
          <w:tab w:val="num" w:pos="0"/>
        </w:tabs>
        <w:ind w:start="3915" w:hanging="1080"/>
      </w:pPr>
      <w:rPr/>
    </w:lvl>
    <w:lvl w:ilvl="6">
      <w:start w:val="1"/>
      <w:numFmt w:val="decimal"/>
      <w:lvlText w:val="%1-%2.%3.%4.%5.%6.%7."/>
      <w:lvlJc w:val="start"/>
      <w:pPr>
        <w:tabs>
          <w:tab w:val="num" w:pos="0"/>
        </w:tabs>
        <w:ind w:start="4482" w:hanging="1080"/>
      </w:pPr>
      <w:rPr/>
    </w:lvl>
    <w:lvl w:ilvl="7">
      <w:start w:val="1"/>
      <w:numFmt w:val="decimal"/>
      <w:lvlText w:val="%1-%2.%3.%4.%5.%6.%7.%8."/>
      <w:lvlJc w:val="start"/>
      <w:pPr>
        <w:tabs>
          <w:tab w:val="num" w:pos="0"/>
        </w:tabs>
        <w:ind w:start="5409" w:hanging="1440"/>
      </w:pPr>
      <w:rPr/>
    </w:lvl>
    <w:lvl w:ilvl="8">
      <w:start w:val="1"/>
      <w:numFmt w:val="decimal"/>
      <w:lvlText w:val="%1-%2.%3.%4.%5.%6.%7.%8.%9."/>
      <w:lvlJc w:val="start"/>
      <w:pPr>
        <w:tabs>
          <w:tab w:val="num" w:pos="0"/>
        </w:tabs>
        <w:ind w:start="5976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end="547"/>
      <w:outlineLvl w:val="1"/>
    </w:pPr>
    <w:rPr>
      <w:rFonts w:ascii="Calibri" w:hAnsi="Calibri" w:eastAsia="" w:cs="Calibri" w:asciiTheme="minorHAnsi" w:cstheme="minorHAnsi" w:eastAsiaTheme="majorEastAsia" w:hAnsi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" w:cs="" w:cstheme="majorBidi" w:eastAsiaTheme="majorEastAsia"/>
      <w:i/>
      <w:color w:themeColor="accent1" w:themeShade="7f" w:val="243F60"/>
      <w:sz w:val="24"/>
      <w:szCs w:val="24"/>
      <w:lang w:val="pl-PL" w:eastAsia="pl-PL" w:bidi="pl-PL"/>
    </w:rPr>
  </w:style>
  <w:style w:type="character" w:styleId="Bodytext2" w:customStyle="1">
    <w:name w:val="Body text (2)_"/>
    <w:link w:val="Bodytext21"/>
    <w:qFormat/>
    <w:rsid w:val="007576e1"/>
    <w:rPr>
      <w:rFonts w:ascii="Times New Roman" w:hAnsi="Times New Roman" w:eastAsia="Times New Roman"/>
      <w:sz w:val="19"/>
      <w:szCs w:val="19"/>
      <w:shd w:fill="FFFFFF" w:val="clear"/>
    </w:rPr>
  </w:style>
  <w:style w:type="character" w:styleId="Bodytext3" w:customStyle="1">
    <w:name w:val="Body text (3)_"/>
    <w:link w:val="Bodytext31"/>
    <w:qFormat/>
    <w:rsid w:val="00816ec9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il-font-size" w:customStyle="1">
    <w:name w:val="il-font-size"/>
    <w:qFormat/>
    <w:rsid w:val="001e05ee"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49" w:start="96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unhideWhenUsed/>
    <w:rsid w:val="004c2d6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Heading3"/>
    <w:link w:val="Styl1Znak"/>
    <w:qFormat/>
    <w:rsid w:val="004501ed"/>
    <w:pPr/>
    <w:rPr>
      <w:rFonts w:ascii="Calibri" w:hAnsi="Calibri"/>
      <w:i/>
      <w:color w:val="auto"/>
    </w:rPr>
  </w:style>
  <w:style w:type="paragraph" w:styleId="Bodytext21" w:customStyle="1">
    <w:name w:val="Body text (2)"/>
    <w:basedOn w:val="Normal"/>
    <w:link w:val="Bodytext2"/>
    <w:qFormat/>
    <w:rsid w:val="007576e1"/>
    <w:pPr>
      <w:widowControl/>
      <w:shd w:val="clear" w:color="auto" w:fill="FFFFFF"/>
      <w:spacing w:lineRule="exact" w:line="326"/>
      <w:ind w:hanging="200"/>
      <w:jc w:val="end"/>
    </w:pPr>
    <w:rPr>
      <w:rFonts w:cs="" w:cstheme="minorBidi"/>
      <w:sz w:val="19"/>
      <w:szCs w:val="19"/>
      <w:lang w:val="en-US" w:eastAsia="en-US" w:bidi="ar-SA"/>
    </w:rPr>
  </w:style>
  <w:style w:type="paragraph" w:styleId="Bodytext31" w:customStyle="1">
    <w:name w:val="Body text (3)"/>
    <w:basedOn w:val="Normal"/>
    <w:link w:val="Bodytext3"/>
    <w:qFormat/>
    <w:rsid w:val="00816ec9"/>
    <w:pPr>
      <w:widowControl/>
      <w:shd w:val="clear" w:color="auto" w:fill="FFFFFF"/>
      <w:spacing w:lineRule="exact" w:line="293" w:before="120" w:after="0"/>
      <w:ind w:hanging="420"/>
      <w:jc w:val="both"/>
    </w:pPr>
    <w:rPr>
      <w:sz w:val="21"/>
      <w:szCs w:val="21"/>
      <w:lang w:val="en-US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5CB8-7CB1-43B1-A341-CC20943F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LibreOffice/26.2.4.2$Windows_X86_64 LibreOffice_project/0229ac93fcf0d7cbc6376066c6f35021cef002dc</Application>
  <AppVersion>15.0000</AppVersion>
  <Pages>4</Pages>
  <Words>1262</Words>
  <Characters>8544</Characters>
  <CharactersWithSpaces>9592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2026-05-06T15:39:00Z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2026-06-28T15:12:46Z</dcterms:modified>
  <cp:revision>25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