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57B7DB2B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>Kod przedmiotu (zajęć):</w:t>
      </w:r>
      <w:r w:rsidR="00A46317">
        <w:rPr>
          <w:b/>
          <w:sz w:val="24"/>
        </w:rPr>
        <w:t xml:space="preserve"> </w:t>
      </w:r>
      <w:r w:rsidR="00A46317" w:rsidRPr="00A46317">
        <w:rPr>
          <w:bCs/>
          <w:sz w:val="24"/>
        </w:rPr>
        <w:t>0313.3PSY.F08.PDTRwDiA</w:t>
      </w:r>
      <w:r>
        <w:rPr>
          <w:b/>
          <w:sz w:val="24"/>
        </w:rPr>
        <w:t xml:space="preserve"> </w:t>
      </w:r>
    </w:p>
    <w:p w14:paraId="27C80E56" w14:textId="6BB82518" w:rsidR="00E92D65" w:rsidRPr="00123936" w:rsidRDefault="00000000" w:rsidP="00A46317">
      <w:pPr>
        <w:tabs>
          <w:tab w:val="center" w:pos="5450"/>
        </w:tabs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>Nazwa przedmiotu (zajęć) w języku polskim:</w:t>
      </w:r>
      <w:r w:rsidRPr="00A46317">
        <w:rPr>
          <w:bCs/>
          <w:sz w:val="24"/>
        </w:rPr>
        <w:t xml:space="preserve"> </w:t>
      </w:r>
      <w:r w:rsidR="00A46317" w:rsidRPr="00A46317">
        <w:rPr>
          <w:bCs/>
          <w:sz w:val="24"/>
        </w:rPr>
        <w:t>Psychologiczna diagnoza trudności rozwojowych w dzieciństwie i adolescencji</w:t>
      </w:r>
      <w:r w:rsidR="00A46317">
        <w:rPr>
          <w:b/>
          <w:sz w:val="24"/>
        </w:rPr>
        <w:tab/>
      </w:r>
    </w:p>
    <w:p w14:paraId="005D6121" w14:textId="51C553E8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A46317" w:rsidRPr="00A46317">
        <w:rPr>
          <w:sz w:val="24"/>
        </w:rPr>
        <w:t>Psychological</w:t>
      </w:r>
      <w:proofErr w:type="spellEnd"/>
      <w:r w:rsidR="00A46317" w:rsidRPr="00A46317">
        <w:rPr>
          <w:sz w:val="24"/>
        </w:rPr>
        <w:t xml:space="preserve"> </w:t>
      </w:r>
      <w:proofErr w:type="spellStart"/>
      <w:r w:rsidR="00A46317" w:rsidRPr="00A46317">
        <w:rPr>
          <w:sz w:val="24"/>
        </w:rPr>
        <w:t>diagnosis</w:t>
      </w:r>
      <w:proofErr w:type="spellEnd"/>
      <w:r w:rsidR="00A46317" w:rsidRPr="00A46317">
        <w:rPr>
          <w:sz w:val="24"/>
        </w:rPr>
        <w:t xml:space="preserve"> of </w:t>
      </w:r>
      <w:proofErr w:type="spellStart"/>
      <w:r w:rsidR="00A46317" w:rsidRPr="00A46317">
        <w:rPr>
          <w:sz w:val="24"/>
        </w:rPr>
        <w:t>developmental</w:t>
      </w:r>
      <w:proofErr w:type="spellEnd"/>
      <w:r w:rsidR="00A46317" w:rsidRPr="00A46317">
        <w:rPr>
          <w:sz w:val="24"/>
        </w:rPr>
        <w:t xml:space="preserve"> </w:t>
      </w:r>
      <w:proofErr w:type="spellStart"/>
      <w:r w:rsidR="00A46317" w:rsidRPr="00A46317">
        <w:rPr>
          <w:sz w:val="24"/>
        </w:rPr>
        <w:t>problems</w:t>
      </w:r>
      <w:proofErr w:type="spellEnd"/>
      <w:r w:rsidR="00A46317" w:rsidRPr="00A46317">
        <w:rPr>
          <w:sz w:val="24"/>
        </w:rPr>
        <w:t xml:space="preserve"> in </w:t>
      </w:r>
      <w:proofErr w:type="spellStart"/>
      <w:r w:rsidR="00A46317" w:rsidRPr="00A46317">
        <w:rPr>
          <w:sz w:val="24"/>
        </w:rPr>
        <w:t>childhood</w:t>
      </w:r>
      <w:proofErr w:type="spellEnd"/>
      <w:r w:rsidR="00A46317" w:rsidRPr="00A46317">
        <w:rPr>
          <w:sz w:val="24"/>
        </w:rPr>
        <w:t xml:space="preserve"> and </w:t>
      </w:r>
      <w:proofErr w:type="spellStart"/>
      <w:r w:rsidR="00A46317" w:rsidRPr="00A46317">
        <w:rPr>
          <w:sz w:val="24"/>
        </w:rPr>
        <w:t>adolescence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21FD819E" w:rsidR="0025381E" w:rsidRPr="00A46317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="00A46317" w:rsidRPr="00A46317">
              <w:rPr>
                <w:szCs w:val="22"/>
              </w:rPr>
              <w:t>m</w:t>
            </w:r>
            <w:r w:rsidR="00A46317" w:rsidRPr="00A46317">
              <w:rPr>
                <w:szCs w:val="22"/>
              </w:rPr>
              <w:t>gr Angelika Szczepanik</w:t>
            </w:r>
            <w:r w:rsidR="00A46317" w:rsidRPr="00A46317">
              <w:rPr>
                <w:szCs w:val="22"/>
              </w:rPr>
              <w:t>-Paśnik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3887EC87" w:rsidR="0025381E" w:rsidRPr="00751E02" w:rsidRDefault="00A46317" w:rsidP="0025381E">
            <w:pPr>
              <w:ind w:left="214"/>
              <w:rPr>
                <w:szCs w:val="22"/>
              </w:rPr>
            </w:pPr>
            <w:r w:rsidRPr="00A46317">
              <w:rPr>
                <w:szCs w:val="22"/>
              </w:rPr>
              <w:t>angelika.szczepanik@ujk.edu.pl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18D02F2B" w:rsidR="005A3806" w:rsidRPr="00C54838" w:rsidRDefault="00A46317" w:rsidP="00A46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A46317">
              <w:rPr>
                <w:sz w:val="20"/>
                <w:szCs w:val="20"/>
              </w:rPr>
              <w:t>najomość podstawowych zagadnień z zakresu Biomedycznych podstaw zachowania, Psychologii rozwoju dzieci i młodzieży, Psychologii społecznej, Psychopatologii, Psychologii różnic indywidualnych, Psychologii klinicznej i Diagnozy psychologicznej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371465F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FC0E963" w:rsidR="00AB5DB1" w:rsidRPr="0028733E" w:rsidRDefault="0028733E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>Zaliczenie z oceną (w), Zaliczenie z oceną (ćw.)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DA97" w14:textId="77777777" w:rsidR="00A46317" w:rsidRPr="00A46317" w:rsidRDefault="00A46317" w:rsidP="00A46317">
            <w:pPr>
              <w:jc w:val="both"/>
              <w:rPr>
                <w:szCs w:val="22"/>
              </w:rPr>
            </w:pPr>
            <w:r w:rsidRPr="00A46317">
              <w:rPr>
                <w:szCs w:val="22"/>
              </w:rPr>
              <w:t xml:space="preserve">Wykład: wykład informacyjny (WI); wykład problemowy (WP); </w:t>
            </w:r>
          </w:p>
          <w:p w14:paraId="1468C25F" w14:textId="49629BAF" w:rsidR="00AB5DB1" w:rsidRPr="00751E02" w:rsidRDefault="00A46317" w:rsidP="00A46317">
            <w:pPr>
              <w:jc w:val="both"/>
              <w:rPr>
                <w:szCs w:val="22"/>
              </w:rPr>
            </w:pPr>
            <w:r w:rsidRPr="00A46317">
              <w:rPr>
                <w:szCs w:val="22"/>
              </w:rPr>
              <w:t>Ćwiczenia: metody problemowe (analiza przypadków, metoda sytuacyjna) i praktyczne (ćwiczenia przedmiotowe, pokaz z opisem), dyskusja wielokrotna (grupowa) (DG),  dyskusja – burza mózgów (BM), metoda inscenizacji (MI)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6806" w14:textId="77777777" w:rsidR="007949A3" w:rsidRDefault="007949A3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7949A3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Bilmes</w:t>
            </w:r>
            <w:proofErr w:type="spellEnd"/>
            <w:r w:rsidRPr="007949A3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, J., &amp; Welker, T. (2006). </w:t>
            </w:r>
            <w:r w:rsidRPr="007949A3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>Common psychological disorders in young children: A handbook for child care professionals</w:t>
            </w:r>
            <w:r w:rsidRPr="007949A3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949A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Redleaf</w:t>
            </w:r>
            <w:proofErr w:type="spellEnd"/>
            <w:r w:rsidRPr="007949A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 Press.</w:t>
            </w:r>
          </w:p>
          <w:p w14:paraId="3EA98A8B" w14:textId="67AB2056" w:rsidR="007949A3" w:rsidRDefault="007949A3" w:rsidP="00BA2469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7949A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Kądzielawa</w:t>
            </w:r>
            <w:proofErr w:type="spellEnd"/>
            <w:r w:rsidRPr="007949A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D. (2006). Wybrane metody psychologicznych badań diagnostycznych. W A. Bilikiewicz (Red.), </w:t>
            </w:r>
            <w:r w:rsidRPr="007949A3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Psychiatria. Podręcznik dla studentów medycyny</w:t>
            </w:r>
            <w:r w:rsidRPr="007949A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 (ss. 141–149). Wydawnictwo Lekarskie PZWL.</w:t>
            </w:r>
          </w:p>
          <w:p w14:paraId="79A50677" w14:textId="2778B2A2" w:rsidR="00F24434" w:rsidRPr="007949A3" w:rsidRDefault="007949A3" w:rsidP="007949A3">
            <w:pPr>
              <w:pStyle w:val="Akapitzlist"/>
              <w:numPr>
                <w:ilvl w:val="0"/>
                <w:numId w:val="6"/>
              </w:numPr>
              <w:ind w:left="313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7949A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Hornowska, E., Kowalik, S., Matczak, A., i in. (2003). Podstawowe metody badawcze. W J. </w:t>
            </w:r>
            <w:proofErr w:type="spellStart"/>
            <w:r w:rsidRPr="007949A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Strelau</w:t>
            </w:r>
            <w:proofErr w:type="spellEnd"/>
            <w:r w:rsidRPr="007949A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 (Red.), </w:t>
            </w:r>
            <w:r w:rsidRPr="007949A3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Psychologia. Podręcznik akademicki. Tom 1. Podstawy psychologii</w:t>
            </w:r>
            <w:r w:rsidRPr="007949A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Gdańskie Wydawnictwo Psychologiczne.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0BB2" w14:textId="3337CD32" w:rsidR="007949A3" w:rsidRPr="00015A78" w:rsidRDefault="007949A3" w:rsidP="00BA2469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949A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Pasikowski, T. (2005). Metody stosowane w psychologicznej diagnozie klinicznej. W H. Sęk (Red.), </w:t>
            </w:r>
            <w:r w:rsidRPr="007949A3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Psychologia kliniczna</w:t>
            </w:r>
            <w:r w:rsidRPr="007949A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 (T. 1, ss. 213–230). Wydawnictwo Naukowe PWN.</w:t>
            </w:r>
          </w:p>
          <w:p w14:paraId="69581D7E" w14:textId="77777777" w:rsidR="00087DAA" w:rsidRPr="00087DAA" w:rsidRDefault="00087DAA" w:rsidP="00BA2469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color w:val="000000" w:themeColor="text1"/>
                <w:sz w:val="20"/>
                <w:szCs w:val="20"/>
              </w:rPr>
            </w:pPr>
            <w:r w:rsidRPr="00087DA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lastRenderedPageBreak/>
              <w:t xml:space="preserve">Pisula, E., &amp; Rola, J. (1995). </w:t>
            </w:r>
            <w:r w:rsidRPr="00087DAA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Wybrane problemy psychologicznej diagnozy zaburzeń rozwoju dzieci</w:t>
            </w:r>
            <w:r w:rsidRPr="00087DA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Wyższa Szkoła Pedagogiki Specjalnej.</w:t>
            </w:r>
          </w:p>
          <w:p w14:paraId="4FCD19A8" w14:textId="43891866" w:rsidR="00F24434" w:rsidRPr="00015A78" w:rsidRDefault="00087DAA" w:rsidP="00BA2469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87DA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Wallon</w:t>
            </w:r>
            <w:proofErr w:type="spellEnd"/>
            <w:r w:rsidRPr="00087DA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, P., Cambier, A.,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7DA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Engelhart</w:t>
            </w:r>
            <w:proofErr w:type="spellEnd"/>
            <w:r w:rsidRPr="00087DA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, D. (1993). </w:t>
            </w:r>
            <w:r w:rsidRPr="00087DAA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Rysunek dziecka</w:t>
            </w:r>
            <w:r w:rsidRPr="00087DAA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Wydawnictwa Szkolne i Pedagogiczne.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01D65A16" w14:textId="4EBEF4EB" w:rsidR="00DB2C37" w:rsidRPr="00DB2C37" w:rsidRDefault="00DB2C37" w:rsidP="00BD2090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Pr="00DB2C3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Zapoznanie studentów z </w:t>
      </w:r>
      <w:r w:rsidR="00A46317" w:rsidRP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podstawowymi pojęciami z zakresu diagnozy psychologicznej dzieci i młodzieży oraz psychopatologii rozwoju</w:t>
      </w:r>
      <w:r w:rsid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5FF0C0B7" w14:textId="4F4D9ED4" w:rsidR="00DB2C37" w:rsidRPr="00DB2C37" w:rsidRDefault="00DB2C37" w:rsidP="00DB2C37">
      <w:pPr>
        <w:pStyle w:val="Akapitzlist"/>
        <w:numPr>
          <w:ilvl w:val="0"/>
          <w:numId w:val="10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N</w:t>
      </w:r>
      <w:r w:rsidR="00A46317" w:rsidRP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abycie </w:t>
      </w:r>
      <w:r w:rsid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przez studentów </w:t>
      </w:r>
      <w:r w:rsidR="00A46317" w:rsidRP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umiejętności opisywania,  interpretowania, wyjaśniania i klasyfikowania zjawisk psychicznych okresu rozwojowego mających znaczenie kliniczne i społeczne</w:t>
      </w:r>
      <w:r w:rsid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4C9059DC" w14:textId="2B8B95EC" w:rsidR="00DB2C37" w:rsidRPr="00F74A70" w:rsidRDefault="00DB2C37" w:rsidP="00F74A70">
      <w:pPr>
        <w:pStyle w:val="Akapitzlist"/>
        <w:numPr>
          <w:ilvl w:val="0"/>
          <w:numId w:val="10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K</w:t>
      </w:r>
      <w:r w:rsidR="00A46317" w:rsidRP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ształtowanie postawy otwartości wobec dzieci i młodzieży z trudnościami rozwojowymi i ich rodzin</w:t>
      </w:r>
      <w:r w:rsid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5C8A004A" w14:textId="3B5B00C2" w:rsidR="00DB2C37" w:rsidRPr="00DB2C3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</w:t>
      </w:r>
      <w:r w:rsidR="00A46317" w:rsidRP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apoznanie</w:t>
      </w:r>
      <w:r w:rsid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studentów</w:t>
      </w:r>
      <w:r w:rsidR="00A46317" w:rsidRP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 z podstawowymi pojęciami z zakresu psychologicznej diagnozy klinicznej dzieci i młodzieży oraz wybranymi metodami i technikami diagnozy trudności rozwojowych</w:t>
      </w:r>
      <w:r w:rsid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0E587267" w14:textId="7C1280FE" w:rsidR="00DB2C37" w:rsidRPr="00DB2C3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N</w:t>
      </w:r>
      <w:r w:rsidR="00A46317" w:rsidRP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abycie i rozwijanie umiejętności doboru odpowiednich narzędzi badawczych i interpretacji wyników badań diagnostycznych w oparciu o przykłady</w:t>
      </w:r>
      <w:r w:rsid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02CB2933" w14:textId="1A1646F9" w:rsidR="00A302C9" w:rsidRPr="00F74A70" w:rsidRDefault="00DB2C37" w:rsidP="00A4631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U</w:t>
      </w:r>
      <w:r w:rsidR="00A46317" w:rsidRP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wrażliwienie na indywidualne różnice w przebiegu trudności rozwojowych dzieci i młodzieży oraz możliwe trudności w relacji z dzieckiem/młodzieżą z zaburzeniami i jego rodziną w oparciu o przykłady</w:t>
      </w:r>
      <w:r w:rsidR="00A4631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3A3B70" w:rsidRDefault="00000000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1A710967" w14:textId="0CCD6F5A" w:rsidR="003A3B70" w:rsidRPr="003A3B70" w:rsidRDefault="003A3B70" w:rsidP="00A46317">
      <w:pPr>
        <w:spacing w:after="0" w:line="268" w:lineRule="auto"/>
        <w:ind w:left="562" w:hanging="10"/>
      </w:pPr>
      <w:r w:rsidRPr="003A3B70">
        <w:t xml:space="preserve">1. </w:t>
      </w:r>
      <w:r w:rsidR="00A46317">
        <w:t>Zapoznania z kartą przedmiotu i warunkami zaliczenia</w:t>
      </w:r>
      <w:r w:rsidR="00A46317">
        <w:t xml:space="preserve">. </w:t>
      </w:r>
      <w:r w:rsidR="00A46317">
        <w:t>Podstawowe pojęcia z zakresu diagnozy psychologicznej dzieci i młodzieży</w:t>
      </w:r>
      <w:r w:rsidR="00A46317">
        <w:t>.</w:t>
      </w:r>
    </w:p>
    <w:p w14:paraId="7D828171" w14:textId="7C550FAE" w:rsidR="003A3B70" w:rsidRPr="003A3B70" w:rsidRDefault="003A3B70" w:rsidP="003A3B70">
      <w:pPr>
        <w:spacing w:after="0" w:line="268" w:lineRule="auto"/>
        <w:ind w:left="562" w:hanging="10"/>
      </w:pPr>
      <w:r w:rsidRPr="003A3B70">
        <w:t xml:space="preserve">2. </w:t>
      </w:r>
      <w:r w:rsidR="00A46317" w:rsidRPr="00A46317">
        <w:t>Psychologiczna diagnoza różnicowa w dzieciństwie i adolescencji</w:t>
      </w:r>
      <w:r w:rsidR="00A46317">
        <w:t>.</w:t>
      </w:r>
    </w:p>
    <w:p w14:paraId="12ACC1C4" w14:textId="7EFC9BC7" w:rsidR="003A3B70" w:rsidRPr="003A3B70" w:rsidRDefault="003A3B70" w:rsidP="003A3B70">
      <w:pPr>
        <w:spacing w:after="0" w:line="268" w:lineRule="auto"/>
        <w:ind w:left="562" w:hanging="10"/>
      </w:pPr>
      <w:r w:rsidRPr="003A3B70">
        <w:t xml:space="preserve">3. </w:t>
      </w:r>
      <w:r w:rsidR="00A46317" w:rsidRPr="00A46317">
        <w:t>Psychologiczna diagnoza funkcjonalna w dzieciństwie i adolescencji</w:t>
      </w:r>
      <w:r w:rsidR="00A46317">
        <w:t>.</w:t>
      </w:r>
    </w:p>
    <w:p w14:paraId="08923D78" w14:textId="2D578C0F" w:rsidR="003A3B70" w:rsidRPr="003A3B70" w:rsidRDefault="003A3B70" w:rsidP="003A3B70">
      <w:pPr>
        <w:spacing w:after="0" w:line="268" w:lineRule="auto"/>
        <w:ind w:left="562" w:hanging="10"/>
      </w:pPr>
      <w:r w:rsidRPr="003A3B70">
        <w:t xml:space="preserve">4. </w:t>
      </w:r>
      <w:r w:rsidR="00A46317" w:rsidRPr="00A46317">
        <w:t>Diagnoza w kategoriach psychospołecznych w dzieciństwie i adolescencji</w:t>
      </w:r>
      <w:r w:rsidR="00A46317">
        <w:t>.</w:t>
      </w:r>
    </w:p>
    <w:p w14:paraId="6D4CE016" w14:textId="3764E75D" w:rsidR="003A3B70" w:rsidRPr="003A3B70" w:rsidRDefault="003A3B70" w:rsidP="003A3B70">
      <w:pPr>
        <w:spacing w:after="0" w:line="268" w:lineRule="auto"/>
        <w:ind w:left="562" w:hanging="10"/>
      </w:pPr>
      <w:r w:rsidRPr="003A3B70">
        <w:t xml:space="preserve">5. </w:t>
      </w:r>
      <w:r w:rsidR="00A46317" w:rsidRPr="00A46317">
        <w:t>Postępowanie diagnostyczne – cele i ich znaczenie</w:t>
      </w:r>
      <w:r w:rsidR="00A46317">
        <w:t>.</w:t>
      </w:r>
    </w:p>
    <w:p w14:paraId="393D8E60" w14:textId="574676B8" w:rsidR="003A3B70" w:rsidRPr="003A3B70" w:rsidRDefault="003A3B70" w:rsidP="00A46317">
      <w:pPr>
        <w:spacing w:after="0" w:line="268" w:lineRule="auto"/>
        <w:ind w:left="562" w:hanging="10"/>
      </w:pPr>
      <w:r w:rsidRPr="003A3B70">
        <w:t xml:space="preserve">6. </w:t>
      </w:r>
      <w:r w:rsidR="00A46317">
        <w:t>Etapy postepowania diagnostycznego – formułowanie problemów, hipotezy i ich weryfikacja, wyniki, komunikowanie</w:t>
      </w:r>
      <w:r w:rsidR="00A46317">
        <w:t xml:space="preserve"> </w:t>
      </w:r>
      <w:r w:rsidR="00A46317">
        <w:t>diagnozy</w:t>
      </w:r>
      <w:r w:rsidR="00A46317">
        <w:t>.</w:t>
      </w:r>
    </w:p>
    <w:p w14:paraId="098BBF63" w14:textId="64D3A6C6" w:rsidR="003A3B70" w:rsidRPr="003A3B70" w:rsidRDefault="003A3B70" w:rsidP="003A3B70">
      <w:pPr>
        <w:spacing w:after="0" w:line="268" w:lineRule="auto"/>
        <w:ind w:left="562" w:hanging="10"/>
      </w:pPr>
      <w:r w:rsidRPr="003A3B70">
        <w:t xml:space="preserve">7. </w:t>
      </w:r>
      <w:r w:rsidR="00A46317" w:rsidRPr="00A46317">
        <w:t>Diagnoza problemów społecznych</w:t>
      </w:r>
      <w:r w:rsidR="00A46317">
        <w:t>.</w:t>
      </w:r>
    </w:p>
    <w:p w14:paraId="5139E985" w14:textId="319C08F6" w:rsidR="003A3B70" w:rsidRDefault="003A3B70" w:rsidP="003A3B70">
      <w:pPr>
        <w:spacing w:after="0" w:line="268" w:lineRule="auto"/>
        <w:ind w:left="562" w:hanging="10"/>
      </w:pPr>
      <w:r w:rsidRPr="003A3B70">
        <w:t xml:space="preserve">8. </w:t>
      </w:r>
      <w:r w:rsidR="00A46317" w:rsidRPr="00A46317">
        <w:t>Kliniczna diagnoza grupy (szkolnej, rówieśniczej)</w:t>
      </w:r>
      <w:r w:rsidR="00A46317">
        <w:t>.</w:t>
      </w:r>
    </w:p>
    <w:p w14:paraId="7B03428F" w14:textId="6DE90FCF" w:rsidR="00A46317" w:rsidRDefault="00A46317" w:rsidP="003A3B70">
      <w:pPr>
        <w:spacing w:after="0" w:line="268" w:lineRule="auto"/>
        <w:ind w:left="562" w:hanging="10"/>
      </w:pPr>
      <w:r>
        <w:t xml:space="preserve">9. </w:t>
      </w:r>
      <w:r w:rsidRPr="00A46317">
        <w:t>Diagnoza zaburzeń rozwoju funkcji motorycznych i napędu psychoruchowego</w:t>
      </w:r>
      <w:r>
        <w:t>.</w:t>
      </w:r>
    </w:p>
    <w:p w14:paraId="0B2ACFBE" w14:textId="39F09D79" w:rsidR="00A46317" w:rsidRDefault="00A46317" w:rsidP="003A3B70">
      <w:pPr>
        <w:spacing w:after="0" w:line="268" w:lineRule="auto"/>
        <w:ind w:left="562" w:hanging="10"/>
      </w:pPr>
      <w:r>
        <w:t xml:space="preserve">10. </w:t>
      </w:r>
      <w:r w:rsidRPr="00A46317">
        <w:t>Diagnoza zaburzeń rozwoju procesów poznawczych</w:t>
      </w:r>
      <w:r>
        <w:t>.</w:t>
      </w:r>
    </w:p>
    <w:p w14:paraId="50721B16" w14:textId="5341C1AF" w:rsidR="00A46317" w:rsidRDefault="00A46317" w:rsidP="003A3B70">
      <w:pPr>
        <w:spacing w:after="0" w:line="268" w:lineRule="auto"/>
        <w:ind w:left="562" w:hanging="10"/>
      </w:pPr>
      <w:r>
        <w:t xml:space="preserve">11. </w:t>
      </w:r>
      <w:r w:rsidRPr="00A46317">
        <w:t>Diagnoza zaburzeń rozwoju mowy i języka – opóźniony rozwój mowy, jąkanie, mutyzm, głuchota</w:t>
      </w:r>
      <w:r>
        <w:t>.</w:t>
      </w:r>
    </w:p>
    <w:p w14:paraId="2CA036CE" w14:textId="008E4BCA" w:rsidR="00A46317" w:rsidRDefault="00A46317" w:rsidP="003A3B70">
      <w:pPr>
        <w:spacing w:after="0" w:line="268" w:lineRule="auto"/>
        <w:ind w:left="562" w:hanging="10"/>
      </w:pPr>
      <w:r>
        <w:t xml:space="preserve">12. </w:t>
      </w:r>
      <w:r w:rsidRPr="00A46317">
        <w:t>Diagnoza niepełnosprawności intelektualnej</w:t>
      </w:r>
      <w:r>
        <w:t>.</w:t>
      </w:r>
    </w:p>
    <w:p w14:paraId="4B58D41D" w14:textId="42A188A1" w:rsidR="00A46317" w:rsidRDefault="00A46317" w:rsidP="003A3B70">
      <w:pPr>
        <w:spacing w:after="0" w:line="268" w:lineRule="auto"/>
        <w:ind w:left="562" w:hanging="10"/>
      </w:pPr>
      <w:r>
        <w:t xml:space="preserve">13. </w:t>
      </w:r>
      <w:r w:rsidRPr="00A46317">
        <w:t>Diagnoza zaburzeń rozwoju emocjonalnego</w:t>
      </w:r>
      <w:r>
        <w:t>.</w:t>
      </w:r>
    </w:p>
    <w:p w14:paraId="7FA37964" w14:textId="6C1CE262" w:rsidR="00A46317" w:rsidRDefault="00A46317" w:rsidP="003A3B70">
      <w:pPr>
        <w:spacing w:after="0" w:line="268" w:lineRule="auto"/>
        <w:ind w:left="562" w:hanging="10"/>
      </w:pPr>
      <w:r>
        <w:t xml:space="preserve">14. </w:t>
      </w:r>
      <w:r w:rsidRPr="00A46317">
        <w:t>Diagnoza zaburzeń rozwoju społecznego</w:t>
      </w:r>
      <w:r>
        <w:t>.</w:t>
      </w:r>
    </w:p>
    <w:p w14:paraId="5F63478E" w14:textId="348ADD18" w:rsidR="00A46317" w:rsidRPr="003A3B70" w:rsidRDefault="00A46317" w:rsidP="003A3B70">
      <w:pPr>
        <w:spacing w:after="0" w:line="268" w:lineRule="auto"/>
        <w:ind w:left="562" w:hanging="10"/>
      </w:pPr>
      <w:r>
        <w:t xml:space="preserve">15. </w:t>
      </w:r>
      <w:r w:rsidRPr="00A46317">
        <w:t>Diagnoza nieprawidłowego rozwoju osobowości</w:t>
      </w:r>
      <w:r>
        <w:t>.</w:t>
      </w:r>
    </w:p>
    <w:p w14:paraId="21661B7C" w14:textId="77777777" w:rsidR="003A3B70" w:rsidRDefault="003A3B70" w:rsidP="00A46317">
      <w:pPr>
        <w:spacing w:after="0" w:line="268" w:lineRule="auto"/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27A412CD" w14:textId="064C4493" w:rsidR="00F74A70" w:rsidRDefault="00F74A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F74A70">
        <w:rPr>
          <w:rFonts w:ascii="Calibri" w:hAnsi="Calibri" w:cs="Calibri"/>
          <w:sz w:val="22"/>
          <w:szCs w:val="22"/>
        </w:rPr>
        <w:t>Zapoznania z kartą przedmiotu i warunkami zaliczenia</w:t>
      </w:r>
      <w:r>
        <w:rPr>
          <w:rFonts w:ascii="Calibri" w:hAnsi="Calibri" w:cs="Calibri"/>
          <w:sz w:val="22"/>
          <w:szCs w:val="22"/>
        </w:rPr>
        <w:t xml:space="preserve">. </w:t>
      </w:r>
      <w:r w:rsidRPr="00F74A70">
        <w:rPr>
          <w:rFonts w:ascii="Calibri" w:hAnsi="Calibri" w:cs="Calibri"/>
          <w:sz w:val="22"/>
          <w:szCs w:val="22"/>
        </w:rPr>
        <w:t>Zaburzenia psychiczne dzieci i młodzieży jako główny przedmiot psychologicznej diagnozy klinicznej</w:t>
      </w:r>
      <w:r>
        <w:rPr>
          <w:rFonts w:ascii="Calibri" w:hAnsi="Calibri" w:cs="Calibri"/>
          <w:sz w:val="22"/>
          <w:szCs w:val="22"/>
        </w:rPr>
        <w:t>.</w:t>
      </w:r>
    </w:p>
    <w:p w14:paraId="3F90C349" w14:textId="4C0822BC" w:rsidR="00D312EE" w:rsidRPr="00D312EE" w:rsidRDefault="00F74A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F74A70">
        <w:rPr>
          <w:rFonts w:ascii="Calibri" w:hAnsi="Calibri" w:cs="Calibri"/>
          <w:sz w:val="22"/>
          <w:szCs w:val="22"/>
        </w:rPr>
        <w:t>Diagnoza różnicowa (</w:t>
      </w:r>
      <w:r>
        <w:rPr>
          <w:rFonts w:ascii="Calibri" w:hAnsi="Calibri" w:cs="Calibri"/>
          <w:sz w:val="22"/>
          <w:szCs w:val="22"/>
        </w:rPr>
        <w:t xml:space="preserve">aktualne </w:t>
      </w:r>
      <w:r w:rsidRPr="00F74A70">
        <w:rPr>
          <w:rFonts w:ascii="Calibri" w:hAnsi="Calibri" w:cs="Calibri"/>
          <w:sz w:val="22"/>
          <w:szCs w:val="22"/>
        </w:rPr>
        <w:t>klasyfikacje ICD</w:t>
      </w:r>
      <w:r>
        <w:rPr>
          <w:rFonts w:ascii="Calibri" w:hAnsi="Calibri" w:cs="Calibri"/>
          <w:sz w:val="22"/>
          <w:szCs w:val="22"/>
        </w:rPr>
        <w:t xml:space="preserve">  </w:t>
      </w:r>
      <w:r w:rsidRPr="00F74A70">
        <w:rPr>
          <w:rFonts w:ascii="Calibri" w:hAnsi="Calibri" w:cs="Calibri"/>
          <w:sz w:val="22"/>
          <w:szCs w:val="22"/>
        </w:rPr>
        <w:t>i DSM)</w:t>
      </w:r>
      <w:r>
        <w:rPr>
          <w:rFonts w:ascii="Calibri" w:hAnsi="Calibri" w:cs="Calibri"/>
          <w:sz w:val="22"/>
          <w:szCs w:val="22"/>
        </w:rPr>
        <w:t>.</w:t>
      </w:r>
    </w:p>
    <w:p w14:paraId="2AB61DC0" w14:textId="77777777" w:rsidR="00F74A70" w:rsidRDefault="00F74A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F74A70">
        <w:rPr>
          <w:rFonts w:ascii="Calibri" w:hAnsi="Calibri" w:cs="Calibri"/>
          <w:sz w:val="22"/>
          <w:szCs w:val="22"/>
        </w:rPr>
        <w:t>Diagnoza psychologicznych przyczyn i skutków zaburzeń psychicznych</w:t>
      </w:r>
      <w:r>
        <w:rPr>
          <w:rFonts w:ascii="Calibri" w:hAnsi="Calibri" w:cs="Calibri"/>
          <w:sz w:val="22"/>
          <w:szCs w:val="22"/>
        </w:rPr>
        <w:t>.</w:t>
      </w:r>
    </w:p>
    <w:p w14:paraId="3250963B" w14:textId="77777777" w:rsidR="00F74A70" w:rsidRDefault="00F74A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F74A70">
        <w:rPr>
          <w:rFonts w:ascii="Calibri" w:hAnsi="Calibri" w:cs="Calibri"/>
          <w:sz w:val="22"/>
          <w:szCs w:val="22"/>
        </w:rPr>
        <w:t>Diagnoza na potrzeby terapii</w:t>
      </w:r>
      <w:r>
        <w:rPr>
          <w:rFonts w:ascii="Calibri" w:hAnsi="Calibri" w:cs="Calibri"/>
          <w:sz w:val="22"/>
          <w:szCs w:val="22"/>
        </w:rPr>
        <w:t>.</w:t>
      </w:r>
    </w:p>
    <w:p w14:paraId="096AAFD3" w14:textId="77777777" w:rsidR="00F74A70" w:rsidRDefault="00F74A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F74A70">
        <w:rPr>
          <w:rFonts w:ascii="Calibri" w:hAnsi="Calibri" w:cs="Calibri"/>
          <w:sz w:val="22"/>
          <w:szCs w:val="22"/>
        </w:rPr>
        <w:t>Metody stosowane w psychologicznej diagnozie klinicznej w odniesieniu do dzieci i młodzieży</w:t>
      </w:r>
      <w:r>
        <w:rPr>
          <w:rFonts w:ascii="Calibri" w:hAnsi="Calibri" w:cs="Calibri"/>
          <w:sz w:val="22"/>
          <w:szCs w:val="22"/>
        </w:rPr>
        <w:t>.</w:t>
      </w:r>
    </w:p>
    <w:p w14:paraId="0F7D068B" w14:textId="07697EA4" w:rsidR="005A3806" w:rsidRDefault="00F74A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F74A70">
        <w:rPr>
          <w:rFonts w:ascii="Calibri" w:hAnsi="Calibri" w:cs="Calibri"/>
          <w:sz w:val="22"/>
          <w:szCs w:val="22"/>
        </w:rPr>
        <w:t>Obserwacja psychologiczna i rozmowa psychologiczna (wywiad kliniczny)</w:t>
      </w:r>
      <w:r>
        <w:rPr>
          <w:rFonts w:ascii="Calibri" w:hAnsi="Calibri" w:cs="Calibri"/>
          <w:sz w:val="22"/>
          <w:szCs w:val="22"/>
        </w:rPr>
        <w:t>.</w:t>
      </w:r>
    </w:p>
    <w:p w14:paraId="35A767A3" w14:textId="61A19C35" w:rsidR="00F74A70" w:rsidRDefault="00F74A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F74A70">
        <w:rPr>
          <w:rFonts w:ascii="Calibri" w:hAnsi="Calibri" w:cs="Calibri"/>
          <w:sz w:val="22"/>
          <w:szCs w:val="22"/>
        </w:rPr>
        <w:t>Obserwacja psychologiczna i rozmowa psychologiczna (wywiad kliniczny) – ćwiczenia praktyczne</w:t>
      </w:r>
      <w:r>
        <w:rPr>
          <w:rFonts w:ascii="Calibri" w:hAnsi="Calibri" w:cs="Calibri"/>
          <w:sz w:val="22"/>
          <w:szCs w:val="22"/>
        </w:rPr>
        <w:t>.</w:t>
      </w:r>
    </w:p>
    <w:p w14:paraId="6653886B" w14:textId="4FC9A489" w:rsidR="00F74A70" w:rsidRDefault="00F74A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F74A70">
        <w:rPr>
          <w:rFonts w:ascii="Calibri" w:hAnsi="Calibri" w:cs="Calibri"/>
          <w:sz w:val="22"/>
          <w:szCs w:val="22"/>
        </w:rPr>
        <w:t>Metody badania osobowości – kwestionariusze osobowości</w:t>
      </w:r>
      <w:r>
        <w:rPr>
          <w:rFonts w:ascii="Calibri" w:hAnsi="Calibri" w:cs="Calibri"/>
          <w:sz w:val="22"/>
          <w:szCs w:val="22"/>
        </w:rPr>
        <w:t>.</w:t>
      </w:r>
    </w:p>
    <w:p w14:paraId="4A638F98" w14:textId="1F8B6F99" w:rsidR="00F74A70" w:rsidRDefault="00F74A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F74A70">
        <w:rPr>
          <w:rFonts w:ascii="Calibri" w:hAnsi="Calibri" w:cs="Calibri"/>
          <w:sz w:val="22"/>
          <w:szCs w:val="22"/>
        </w:rPr>
        <w:lastRenderedPageBreak/>
        <w:t>Metody badania osobowości – kwestionariusze osobowości – ćwiczenia praktyczne</w:t>
      </w:r>
      <w:r>
        <w:rPr>
          <w:rFonts w:ascii="Calibri" w:hAnsi="Calibri" w:cs="Calibri"/>
          <w:sz w:val="22"/>
          <w:szCs w:val="22"/>
        </w:rPr>
        <w:t>.</w:t>
      </w:r>
    </w:p>
    <w:p w14:paraId="515D77E9" w14:textId="4345049E" w:rsidR="00F74A70" w:rsidRDefault="00F74A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F74A70">
        <w:rPr>
          <w:rFonts w:ascii="Calibri" w:hAnsi="Calibri" w:cs="Calibri"/>
          <w:sz w:val="22"/>
          <w:szCs w:val="22"/>
        </w:rPr>
        <w:t>Metody badania osobowości – testy projekcyjne</w:t>
      </w:r>
      <w:r>
        <w:rPr>
          <w:rFonts w:ascii="Calibri" w:hAnsi="Calibri" w:cs="Calibri"/>
          <w:sz w:val="22"/>
          <w:szCs w:val="22"/>
        </w:rPr>
        <w:t>.</w:t>
      </w:r>
    </w:p>
    <w:p w14:paraId="1A1E82C5" w14:textId="5E59FA2D" w:rsidR="00F74A70" w:rsidRDefault="00F74A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F74A70">
        <w:rPr>
          <w:rFonts w:ascii="Calibri" w:hAnsi="Calibri" w:cs="Calibri"/>
          <w:sz w:val="22"/>
          <w:szCs w:val="22"/>
        </w:rPr>
        <w:t>Metody badania osobowości – testy projekcyjne – ćwiczenia praktyczne</w:t>
      </w:r>
      <w:r>
        <w:rPr>
          <w:rFonts w:ascii="Calibri" w:hAnsi="Calibri" w:cs="Calibri"/>
          <w:sz w:val="22"/>
          <w:szCs w:val="22"/>
        </w:rPr>
        <w:t>.</w:t>
      </w:r>
    </w:p>
    <w:p w14:paraId="646F08C9" w14:textId="2B72C0D4" w:rsidR="00F74A70" w:rsidRDefault="00F74A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F74A70">
        <w:rPr>
          <w:rFonts w:ascii="Calibri" w:hAnsi="Calibri" w:cs="Calibri"/>
          <w:sz w:val="22"/>
          <w:szCs w:val="22"/>
        </w:rPr>
        <w:t xml:space="preserve">Testy </w:t>
      </w:r>
      <w:r>
        <w:rPr>
          <w:rFonts w:ascii="Calibri" w:hAnsi="Calibri" w:cs="Calibri"/>
          <w:sz w:val="22"/>
          <w:szCs w:val="22"/>
        </w:rPr>
        <w:t>badające inteligencje</w:t>
      </w:r>
      <w:r w:rsidRPr="00F74A70">
        <w:rPr>
          <w:rFonts w:ascii="Calibri" w:hAnsi="Calibri" w:cs="Calibri"/>
          <w:sz w:val="22"/>
          <w:szCs w:val="22"/>
        </w:rPr>
        <w:t xml:space="preserve"> – analiz</w:t>
      </w:r>
      <w:r>
        <w:rPr>
          <w:rFonts w:ascii="Calibri" w:hAnsi="Calibri" w:cs="Calibri"/>
          <w:sz w:val="22"/>
          <w:szCs w:val="22"/>
        </w:rPr>
        <w:t>a</w:t>
      </w:r>
      <w:r w:rsidRPr="00F74A70">
        <w:rPr>
          <w:rFonts w:ascii="Calibri" w:hAnsi="Calibri" w:cs="Calibri"/>
          <w:sz w:val="22"/>
          <w:szCs w:val="22"/>
        </w:rPr>
        <w:t xml:space="preserve"> poziomu rozwoju poznawczego</w:t>
      </w:r>
      <w:r>
        <w:rPr>
          <w:rFonts w:ascii="Calibri" w:hAnsi="Calibri" w:cs="Calibri"/>
          <w:sz w:val="22"/>
          <w:szCs w:val="22"/>
        </w:rPr>
        <w:t>.</w:t>
      </w:r>
    </w:p>
    <w:p w14:paraId="01B35DE2" w14:textId="1B1F74D8" w:rsidR="00F74A70" w:rsidRDefault="00F74A70" w:rsidP="00F74A70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F74A70">
        <w:rPr>
          <w:rFonts w:ascii="Calibri" w:hAnsi="Calibri" w:cs="Calibri"/>
          <w:sz w:val="22"/>
          <w:szCs w:val="22"/>
        </w:rPr>
        <w:t xml:space="preserve">Testy </w:t>
      </w:r>
      <w:r>
        <w:rPr>
          <w:rFonts w:ascii="Calibri" w:hAnsi="Calibri" w:cs="Calibri"/>
          <w:sz w:val="22"/>
          <w:szCs w:val="22"/>
        </w:rPr>
        <w:t>badające inteligencje</w:t>
      </w:r>
      <w:r w:rsidRPr="00F74A70">
        <w:rPr>
          <w:rFonts w:ascii="Calibri" w:hAnsi="Calibri" w:cs="Calibri"/>
          <w:sz w:val="22"/>
          <w:szCs w:val="22"/>
        </w:rPr>
        <w:t xml:space="preserve"> – analiz</w:t>
      </w:r>
      <w:r>
        <w:rPr>
          <w:rFonts w:ascii="Calibri" w:hAnsi="Calibri" w:cs="Calibri"/>
          <w:sz w:val="22"/>
          <w:szCs w:val="22"/>
        </w:rPr>
        <w:t>a</w:t>
      </w:r>
      <w:r w:rsidRPr="00F74A70">
        <w:rPr>
          <w:rFonts w:ascii="Calibri" w:hAnsi="Calibri" w:cs="Calibri"/>
          <w:sz w:val="22"/>
          <w:szCs w:val="22"/>
        </w:rPr>
        <w:t xml:space="preserve"> poziomu rozwoju poznawczego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F74A70">
        <w:rPr>
          <w:rFonts w:ascii="Calibri" w:hAnsi="Calibri" w:cs="Calibri"/>
          <w:sz w:val="22"/>
          <w:szCs w:val="22"/>
        </w:rPr>
        <w:t>– ćwiczenia praktyczne</w:t>
      </w:r>
      <w:r>
        <w:rPr>
          <w:rFonts w:ascii="Calibri" w:hAnsi="Calibri" w:cs="Calibri"/>
          <w:sz w:val="22"/>
          <w:szCs w:val="22"/>
        </w:rPr>
        <w:t>.</w:t>
      </w:r>
    </w:p>
    <w:p w14:paraId="78236A56" w14:textId="4E540140" w:rsidR="00F74A70" w:rsidRDefault="00F74A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F74A70">
        <w:rPr>
          <w:rFonts w:ascii="Calibri" w:hAnsi="Calibri" w:cs="Calibri"/>
          <w:sz w:val="22"/>
          <w:szCs w:val="22"/>
        </w:rPr>
        <w:t>Testy psychometryczne – tzw. testy organiczne</w:t>
      </w:r>
      <w:r>
        <w:rPr>
          <w:rFonts w:ascii="Calibri" w:hAnsi="Calibri" w:cs="Calibri"/>
          <w:sz w:val="22"/>
          <w:szCs w:val="22"/>
        </w:rPr>
        <w:t>.</w:t>
      </w:r>
    </w:p>
    <w:p w14:paraId="0BDCEC74" w14:textId="55A2B28A" w:rsidR="00F74A70" w:rsidRDefault="00F74A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F74A70">
        <w:rPr>
          <w:rFonts w:ascii="Calibri" w:hAnsi="Calibri" w:cs="Calibri"/>
          <w:sz w:val="22"/>
          <w:szCs w:val="22"/>
        </w:rPr>
        <w:t>Testy psychometryczne – tzw. testy organiczne – ćwiczenia praktyczne</w:t>
      </w:r>
      <w:r>
        <w:rPr>
          <w:rFonts w:ascii="Calibri" w:hAnsi="Calibri" w:cs="Calibri"/>
          <w:sz w:val="22"/>
          <w:szCs w:val="22"/>
        </w:rPr>
        <w:t>.</w:t>
      </w:r>
    </w:p>
    <w:p w14:paraId="112AB151" w14:textId="77777777" w:rsidR="0022569A" w:rsidRPr="00F74A70" w:rsidRDefault="0022569A" w:rsidP="0022569A">
      <w:pPr>
        <w:spacing w:after="24"/>
        <w:ind w:left="491"/>
        <w:rPr>
          <w:szCs w:val="22"/>
          <w:lang w:val="pl"/>
        </w:rPr>
      </w:pP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22C5A564" w:rsidR="00C567A2" w:rsidRPr="00DB7C17" w:rsidRDefault="003119A1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3119A1">
              <w:rPr>
                <w:szCs w:val="22"/>
              </w:rPr>
              <w:t>a pogłębioną wiedzę z zakresu rozwoju dzieci i adolescentów w aspekcie psychologicznym, emocjonalnym, poznawczym, językowym, motorycznym oraz społecznych w odniesieniu do trudności rozwojowych występujących na danym etapie życia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1766E5FC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3119A1">
              <w:rPr>
                <w:szCs w:val="22"/>
              </w:rPr>
              <w:t>13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13F799D1" w:rsidR="00C567A2" w:rsidRPr="00DB7C17" w:rsidRDefault="003119A1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Z</w:t>
            </w:r>
            <w:r w:rsidRPr="003119A1">
              <w:rPr>
                <w:szCs w:val="22"/>
              </w:rPr>
              <w:t>na empirycznie sprawdzone teorie pozwalające zrozumieć zaburzenia wieku rozwojowego, a także zna ich objawy i przyczyny (indywidualne, biologiczne, społeczne)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13812FD7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3119A1">
              <w:rPr>
                <w:szCs w:val="22"/>
              </w:rPr>
              <w:t>14</w:t>
            </w:r>
          </w:p>
        </w:tc>
      </w:tr>
      <w:tr w:rsidR="00BB56CE" w14:paraId="4840B8DC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4DB76FD" w14:textId="362E6420" w:rsidR="00BB56CE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9D7B" w14:textId="77BA28B8" w:rsidR="009D3544" w:rsidRPr="00DB7C17" w:rsidRDefault="003119A1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Z</w:t>
            </w:r>
            <w:r w:rsidRPr="003119A1">
              <w:rPr>
                <w:szCs w:val="22"/>
              </w:rPr>
              <w:t>na w pogłębionym stopniu i wykorzystuje metody oraz narzędzia badawcze stosowane w diagnozie psychologicznej trudności rozwojowych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3BCB" w14:textId="33AA361D" w:rsidR="00BB56CE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3119A1">
              <w:rPr>
                <w:szCs w:val="22"/>
              </w:rPr>
              <w:t>5</w:t>
            </w:r>
          </w:p>
        </w:tc>
      </w:tr>
      <w:tr w:rsidR="00F06C3E" w14:paraId="449D20E1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9F94205" w14:textId="3FD50C12" w:rsidR="00F06C3E" w:rsidRPr="00DB7C17" w:rsidRDefault="003119A1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</w:t>
            </w:r>
            <w:r>
              <w:rPr>
                <w:szCs w:val="22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A782" w14:textId="0EAF19B3" w:rsidR="00F06C3E" w:rsidRPr="00DB7C17" w:rsidRDefault="003119A1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Z</w:t>
            </w:r>
            <w:r w:rsidRPr="003119A1">
              <w:rPr>
                <w:szCs w:val="22"/>
              </w:rPr>
              <w:t>na w pogłębionym stopniu i wykorzystuje metody i techniki wykorzystywane w terapii zaburzeń rozwojowych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236E" w14:textId="18414D77" w:rsidR="00F06C3E" w:rsidRPr="00DB7C17" w:rsidRDefault="003119A1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>
              <w:rPr>
                <w:szCs w:val="22"/>
              </w:rPr>
              <w:t>14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2F6BB3B3" w:rsidR="00C567A2" w:rsidRDefault="003119A1" w:rsidP="004C40E9">
            <w:pPr>
              <w:jc w:val="both"/>
            </w:pPr>
            <w:r>
              <w:t>P</w:t>
            </w:r>
            <w:r w:rsidRPr="003119A1">
              <w:t>osiada pogłębioną umiejętność nawiązywania kontaktu oraz stosowania technik efektywnego komunikowania się w pracy z dziećmi i adolescentami oraz ich rodzicami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4DDBCCAB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3119A1">
              <w:t>9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1FC3A2EF" w:rsidR="00C567A2" w:rsidRDefault="003119A1" w:rsidP="004C40E9">
            <w:pPr>
              <w:jc w:val="both"/>
            </w:pPr>
            <w:r>
              <w:t>P</w:t>
            </w:r>
            <w:r w:rsidRPr="003119A1">
              <w:t>osiada rozwiniętą umiejętność postrzegania, pojmowania i interpretowania trudności rozwojowych w kontekście psychologicznym oraz zastosowania  standaryzowanych metod badawczych w celu ich zdiagnozowania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6775721C" w:rsidR="00C567A2" w:rsidRDefault="007737D9" w:rsidP="00C567A2">
            <w:pPr>
              <w:ind w:left="29"/>
              <w:jc w:val="center"/>
            </w:pPr>
            <w:r w:rsidRPr="007737D9">
              <w:t>PSYCH_U05</w:t>
            </w:r>
          </w:p>
        </w:tc>
      </w:tr>
      <w:tr w:rsidR="00F06C3E" w14:paraId="2FF7CE60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D33B3F3" w14:textId="1AFA05F5" w:rsidR="00F06C3E" w:rsidRDefault="003119A1" w:rsidP="00C567A2">
            <w:pPr>
              <w:ind w:left="5"/>
              <w:jc w:val="center"/>
            </w:pPr>
            <w:r w:rsidRPr="003119A1">
              <w:t>U0</w:t>
            </w:r>
            <w: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65CA" w14:textId="767D3DAC" w:rsidR="00F06C3E" w:rsidRPr="007737D9" w:rsidRDefault="006F0CC6" w:rsidP="004C40E9">
            <w:pPr>
              <w:jc w:val="both"/>
            </w:pPr>
            <w:r>
              <w:t>P</w:t>
            </w:r>
            <w:r w:rsidRPr="006F0CC6">
              <w:t>otrafi rozpoznać potrzeby i trudności dziecka lub adolescenta, samodzielnie wygenerować pomysły ich rozwiązania, które będą pomocne podczas wspierania trudności rozwojowych na poszczególnych etapach pracy psychologicznej z dzieckiem, a także jego system rodzinnym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E19B" w14:textId="3A5A0599" w:rsidR="00F06C3E" w:rsidRPr="007737D9" w:rsidRDefault="003119A1" w:rsidP="00C567A2">
            <w:pPr>
              <w:ind w:left="29"/>
              <w:jc w:val="center"/>
            </w:pPr>
            <w:r w:rsidRPr="003119A1">
              <w:t>PSYCH_U11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62D4647B" w:rsidR="00C567A2" w:rsidRDefault="006F0CC6" w:rsidP="004C40E9">
            <w:pPr>
              <w:jc w:val="both"/>
            </w:pPr>
            <w:r>
              <w:t>D</w:t>
            </w:r>
            <w:r w:rsidRPr="006F0CC6">
              <w:t>ba o przestrzeganie zasad etyki wykonywania zawodu psychologa w pracy z osobami nieletnimi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57C964C8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6F0CC6">
              <w:t>6</w:t>
            </w:r>
          </w:p>
        </w:tc>
      </w:tr>
      <w:tr w:rsidR="00F06C3E" w14:paraId="128B115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14D3811" w14:textId="3AA9BDC6" w:rsidR="00F06C3E" w:rsidRDefault="006F0CC6" w:rsidP="00C567A2">
            <w:pPr>
              <w:ind w:right="4"/>
              <w:jc w:val="center"/>
            </w:pPr>
            <w:r>
              <w:t>K0</w:t>
            </w:r>
            <w: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D1A6" w14:textId="1C49110E" w:rsidR="00F06C3E" w:rsidRPr="007737D9" w:rsidRDefault="006F0CC6" w:rsidP="004C40E9">
            <w:pPr>
              <w:jc w:val="both"/>
            </w:pPr>
            <w:r>
              <w:t>P</w:t>
            </w:r>
            <w:r w:rsidRPr="006F0CC6">
              <w:t>otrafi formułować opinie psychologiczne we współpracy z przedstawicielami innych dyscyplin z zakresu trudności rozwojowych występujących u dzieci i adolescentów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8F3D" w14:textId="1131953F" w:rsidR="00F06C3E" w:rsidRPr="007737D9" w:rsidRDefault="006F0CC6" w:rsidP="00C567A2">
            <w:pPr>
              <w:ind w:left="49"/>
              <w:jc w:val="center"/>
            </w:pPr>
            <w:r w:rsidRPr="007737D9">
              <w:t>PSYCH_K0</w:t>
            </w:r>
            <w:r>
              <w:t>2</w:t>
            </w:r>
          </w:p>
        </w:tc>
      </w:tr>
      <w:tr w:rsidR="00F06C3E" w14:paraId="70CC7880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A285EF9" w14:textId="2B2C189F" w:rsidR="00F06C3E" w:rsidRDefault="006F0CC6" w:rsidP="00C567A2">
            <w:pPr>
              <w:ind w:right="4"/>
              <w:jc w:val="center"/>
            </w:pPr>
            <w:r>
              <w:t>K0</w:t>
            </w:r>
            <w: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6379" w14:textId="38403A27" w:rsidR="00F06C3E" w:rsidRPr="007737D9" w:rsidRDefault="00D73196" w:rsidP="004C40E9">
            <w:pPr>
              <w:jc w:val="both"/>
            </w:pPr>
            <w:r>
              <w:t>J</w:t>
            </w:r>
            <w:r w:rsidRPr="00D73196">
              <w:t>est gotowy do realizowania różnych form wsparcia psychologicznego, również we współpracy ze specjalistami innych dyscyplin oraz do podejmowania profesjonalnych zespołowych zadań, w celu wsparcia dziecka zmagającego się z zaburzeniami rozwojowymi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2440" w14:textId="0158B35E" w:rsidR="00F06C3E" w:rsidRPr="007737D9" w:rsidRDefault="006F0CC6" w:rsidP="00C567A2">
            <w:pPr>
              <w:ind w:left="49"/>
              <w:jc w:val="center"/>
            </w:pPr>
            <w:r w:rsidRPr="007737D9">
              <w:t>PSYCH_K0</w:t>
            </w:r>
            <w:r>
              <w:t>3</w:t>
            </w:r>
          </w:p>
        </w:tc>
      </w:tr>
      <w:tr w:rsidR="00F06C3E" w14:paraId="23F9E72D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A3B9522" w14:textId="41457B9B" w:rsidR="00F06C3E" w:rsidRDefault="006F0CC6" w:rsidP="00C567A2">
            <w:pPr>
              <w:ind w:right="4"/>
              <w:jc w:val="center"/>
            </w:pPr>
            <w:r>
              <w:lastRenderedPageBreak/>
              <w:t>K0</w:t>
            </w:r>
            <w: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3176" w14:textId="16F4AC57" w:rsidR="00F06C3E" w:rsidRPr="007737D9" w:rsidRDefault="00D73196" w:rsidP="004C40E9">
            <w:pPr>
              <w:jc w:val="both"/>
            </w:pPr>
            <w:r>
              <w:t>A</w:t>
            </w:r>
            <w:r w:rsidRPr="00D73196">
              <w:t>ktywnie wykorzystuje swoje umiejętności zawodowe w obszarze diagnozy oraz pomocy psychologicznej dzieciom i adolescentom zmagającym się z trudnościami rozwojowymi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5C3A" w14:textId="04030D01" w:rsidR="00F06C3E" w:rsidRPr="007737D9" w:rsidRDefault="006F0CC6" w:rsidP="00C567A2">
            <w:pPr>
              <w:ind w:left="49"/>
              <w:jc w:val="center"/>
            </w:pPr>
            <w:r w:rsidRPr="006F0CC6">
              <w:t>PSYCH_K0</w:t>
            </w:r>
            <w:r>
              <w:t>1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4935" w:type="dxa"/>
        <w:jc w:val="center"/>
        <w:tblInd w:w="0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9"/>
        <w:gridCol w:w="1221"/>
        <w:gridCol w:w="1210"/>
      </w:tblGrid>
      <w:tr w:rsidR="00F06C3E" w14:paraId="3571F9FC" w14:textId="77777777" w:rsidTr="00F06C3E">
        <w:trPr>
          <w:trHeight w:val="148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F06C3E" w:rsidRDefault="00F06C3E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F06C3E" w:rsidRDefault="00F06C3E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F06C3E" w:rsidRDefault="00F06C3E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F06C3E" w:rsidRDefault="00F06C3E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F06C3E" w:rsidRDefault="00F06C3E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F06C3E" w:rsidRDefault="00F06C3E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F06C3E" w:rsidRDefault="00F06C3E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</w:tr>
      <w:tr w:rsidR="00F06C3E" w14:paraId="0BD4DDAC" w14:textId="77777777" w:rsidTr="00F06C3E">
        <w:trPr>
          <w:trHeight w:val="24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F06C3E" w:rsidRPr="006D026E" w:rsidRDefault="00F06C3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3A2127A4" w:rsidR="00F06C3E" w:rsidRDefault="003228F1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F06C3E" w:rsidRDefault="00F06C3E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445323FE" w:rsidR="00F06C3E" w:rsidRDefault="00F06C3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</w:tr>
      <w:tr w:rsidR="00F06C3E" w14:paraId="0F32345B" w14:textId="77777777" w:rsidTr="00F06C3E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F06C3E" w:rsidRPr="006D026E" w:rsidRDefault="00F06C3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24FA9E6A" w:rsidR="00F06C3E" w:rsidRDefault="003228F1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F06C3E" w:rsidRDefault="00F06C3E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4498A5FC" w:rsidR="00F06C3E" w:rsidRDefault="00F06C3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</w:tr>
      <w:tr w:rsidR="00F06C3E" w14:paraId="68CC053B" w14:textId="77777777" w:rsidTr="00F06C3E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47CC7E4" w14:textId="3A9EC4C3" w:rsidR="00F06C3E" w:rsidRPr="006D026E" w:rsidRDefault="003228F1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664C" w14:textId="3D9C0833" w:rsidR="00F06C3E" w:rsidRDefault="003228F1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1A3DBC" w14:textId="4E35FE0C" w:rsidR="00F06C3E" w:rsidRDefault="003228F1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A4FF3F" w14:textId="77777777" w:rsidR="00F06C3E" w:rsidRDefault="00F06C3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</w:tr>
      <w:tr w:rsidR="00F06C3E" w14:paraId="663A197B" w14:textId="77777777" w:rsidTr="00F06C3E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34CFECB" w14:textId="56507981" w:rsidR="00F06C3E" w:rsidRPr="006D026E" w:rsidRDefault="003228F1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987A" w14:textId="25F34F24" w:rsidR="00F06C3E" w:rsidRDefault="003228F1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0134EC" w14:textId="085FFBD8" w:rsidR="00F06C3E" w:rsidRDefault="003228F1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580869" w14:textId="77777777" w:rsidR="00F06C3E" w:rsidRDefault="00F06C3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</w:tr>
      <w:tr w:rsidR="00F06C3E" w14:paraId="1588A05A" w14:textId="77777777" w:rsidTr="00F06C3E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F06C3E" w:rsidRPr="006D026E" w:rsidRDefault="00F06C3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022FDDEA" w:rsidR="00F06C3E" w:rsidRDefault="003228F1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F06C3E" w:rsidRDefault="00F06C3E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185458C9" w:rsidR="00F06C3E" w:rsidRDefault="003228F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F06C3E" w14:paraId="687D4B64" w14:textId="77777777" w:rsidTr="00F06C3E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F06C3E" w:rsidRPr="006D026E" w:rsidRDefault="00F06C3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01611894" w:rsidR="00F06C3E" w:rsidRDefault="003228F1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F06C3E" w:rsidRDefault="00F06C3E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76DECA31" w:rsidR="00F06C3E" w:rsidRDefault="003228F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F06C3E" w14:paraId="39CC21BC" w14:textId="77777777" w:rsidTr="00F06C3E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10F1C1D" w14:textId="02C46609" w:rsidR="00F06C3E" w:rsidRPr="006D026E" w:rsidRDefault="003228F1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815D" w14:textId="04F88C96" w:rsidR="00F06C3E" w:rsidRDefault="003228F1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8DBE4D" w14:textId="654D3F38" w:rsidR="00F06C3E" w:rsidRDefault="003228F1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5E15D2" w14:textId="5BFFBC53" w:rsidR="00F06C3E" w:rsidRDefault="003228F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F06C3E" w14:paraId="30F93739" w14:textId="77777777" w:rsidTr="00F06C3E">
        <w:trPr>
          <w:trHeight w:val="2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F06C3E" w:rsidRPr="006D026E" w:rsidRDefault="00F06C3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F06C3E" w:rsidRDefault="00F06C3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62CD01A5" w:rsidR="00F06C3E" w:rsidRDefault="00F06C3E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7CE8A62C" w:rsidR="00F06C3E" w:rsidRDefault="003228F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F06C3E" w14:paraId="3BE977BC" w14:textId="77777777" w:rsidTr="00F06C3E">
        <w:trPr>
          <w:trHeight w:val="2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C08066B" w14:textId="7B52273A" w:rsidR="00F06C3E" w:rsidRPr="006D026E" w:rsidRDefault="003228F1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386C" w14:textId="77777777" w:rsidR="00F06C3E" w:rsidRDefault="00F06C3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E06353" w14:textId="5F7F388F" w:rsidR="00F06C3E" w:rsidRDefault="003228F1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193483" w14:textId="043BE704" w:rsidR="00F06C3E" w:rsidRDefault="003228F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F06C3E" w14:paraId="2713C75D" w14:textId="77777777" w:rsidTr="00F06C3E">
        <w:trPr>
          <w:trHeight w:val="2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9C47E3B" w14:textId="3CF7A1B3" w:rsidR="00F06C3E" w:rsidRPr="006D026E" w:rsidRDefault="003228F1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740C" w14:textId="77777777" w:rsidR="00F06C3E" w:rsidRDefault="00F06C3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0FEFAB" w14:textId="2EA9B166" w:rsidR="00F06C3E" w:rsidRDefault="003228F1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18A71F" w14:textId="091A2FD7" w:rsidR="00F06C3E" w:rsidRDefault="003228F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F06C3E" w14:paraId="73581C4C" w14:textId="77777777" w:rsidTr="00F06C3E">
        <w:trPr>
          <w:trHeight w:val="2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04F3D4C" w14:textId="18F55848" w:rsidR="00F06C3E" w:rsidRPr="006D026E" w:rsidRDefault="003228F1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6122" w14:textId="77777777" w:rsidR="00F06C3E" w:rsidRDefault="00F06C3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6E04A2" w14:textId="3F075BAA" w:rsidR="00F06C3E" w:rsidRDefault="003228F1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82D572" w14:textId="4CAA0519" w:rsidR="00F06C3E" w:rsidRDefault="003228F1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06C3E" w14:paraId="00762832" w14:textId="77777777" w:rsidTr="00F06C3E">
        <w:trPr>
          <w:jc w:val="center"/>
        </w:trPr>
        <w:tc>
          <w:tcPr>
            <w:tcW w:w="1166" w:type="dxa"/>
          </w:tcPr>
          <w:p w14:paraId="781A9144" w14:textId="77777777" w:rsidR="00F06C3E" w:rsidRPr="00C030B4" w:rsidRDefault="00F06C3E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F716A4" id="Łącznik prosty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F06C3E" w:rsidRPr="00C030B4" w:rsidRDefault="00F06C3E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F06C3E" w:rsidRPr="00C030B4" w:rsidRDefault="00F06C3E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F06C3E" w:rsidRPr="00C030B4" w:rsidRDefault="00F06C3E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F06C3E" w:rsidRPr="00C030B4" w:rsidRDefault="00F06C3E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F06C3E" w:rsidRPr="00C030B4" w:rsidRDefault="00F06C3E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F06C3E" w:rsidRPr="00C030B4" w:rsidRDefault="00F06C3E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F06C3E" w:rsidRPr="00C030B4" w:rsidRDefault="00F06C3E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F06C3E" w:rsidRPr="00C030B4" w:rsidRDefault="00F06C3E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F06C3E" w:rsidRPr="00C030B4" w:rsidRDefault="00F06C3E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F06C3E" w:rsidRPr="00C030B4" w:rsidRDefault="00F06C3E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F06C3E" w14:paraId="44B40098" w14:textId="77777777" w:rsidTr="00F06C3E">
        <w:trPr>
          <w:jc w:val="center"/>
        </w:trPr>
        <w:tc>
          <w:tcPr>
            <w:tcW w:w="1166" w:type="dxa"/>
          </w:tcPr>
          <w:p w14:paraId="4FF0B8F7" w14:textId="10F3FE5B" w:rsidR="00F06C3E" w:rsidRPr="006D026E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2F903BDB" w:rsidR="00F06C3E" w:rsidRPr="00C030B4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C6B517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25370B28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7244F500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C3E" w14:paraId="61B9739F" w14:textId="77777777" w:rsidTr="00F06C3E">
        <w:trPr>
          <w:jc w:val="center"/>
        </w:trPr>
        <w:tc>
          <w:tcPr>
            <w:tcW w:w="1166" w:type="dxa"/>
          </w:tcPr>
          <w:p w14:paraId="4887B0DE" w14:textId="7B71ABAB" w:rsidR="00F06C3E" w:rsidRPr="006D026E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4B550365" w:rsidR="00F06C3E" w:rsidRPr="00C030B4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745B95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25F0E2BC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5A77EB52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C3E" w14:paraId="4578EB3E" w14:textId="77777777" w:rsidTr="00F06C3E">
        <w:trPr>
          <w:jc w:val="center"/>
        </w:trPr>
        <w:tc>
          <w:tcPr>
            <w:tcW w:w="1166" w:type="dxa"/>
          </w:tcPr>
          <w:p w14:paraId="41AB655C" w14:textId="237728BA" w:rsidR="00F06C3E" w:rsidRPr="006D026E" w:rsidRDefault="003228F1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425" w:type="dxa"/>
          </w:tcPr>
          <w:p w14:paraId="675C4593" w14:textId="1770146F" w:rsidR="00F06C3E" w:rsidRPr="00C030B4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9E5F95C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69C19E8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9AD12B" w14:textId="77777777" w:rsidR="00F06C3E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572A14" w14:textId="4BB3D499" w:rsidR="00F06C3E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5F5F15F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7399484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7035EF9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5F5A30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C3E" w14:paraId="6700F371" w14:textId="77777777" w:rsidTr="00F06C3E">
        <w:trPr>
          <w:jc w:val="center"/>
        </w:trPr>
        <w:tc>
          <w:tcPr>
            <w:tcW w:w="1166" w:type="dxa"/>
          </w:tcPr>
          <w:p w14:paraId="0006FD58" w14:textId="3D53608C" w:rsidR="00F06C3E" w:rsidRPr="006D026E" w:rsidRDefault="003228F1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W04</w:t>
            </w:r>
          </w:p>
        </w:tc>
        <w:tc>
          <w:tcPr>
            <w:tcW w:w="425" w:type="dxa"/>
          </w:tcPr>
          <w:p w14:paraId="2731C7CD" w14:textId="41CC9887" w:rsidR="00F06C3E" w:rsidRPr="00C030B4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BCACB1B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DDEA4CC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6505B9" w14:textId="77777777" w:rsidR="00F06C3E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9934FD" w14:textId="4CEFCDF8" w:rsidR="00F06C3E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F92C33F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C59331B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0A9051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4F307D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C3E" w14:paraId="651CC940" w14:textId="77777777" w:rsidTr="00F06C3E">
        <w:trPr>
          <w:jc w:val="center"/>
        </w:trPr>
        <w:tc>
          <w:tcPr>
            <w:tcW w:w="1166" w:type="dxa"/>
          </w:tcPr>
          <w:p w14:paraId="229579EC" w14:textId="52D3AB51" w:rsidR="00F06C3E" w:rsidRPr="006D026E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61044157" w:rsidR="00F06C3E" w:rsidRPr="00C030B4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AB02A06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5B2B448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458B9F6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3192808D" w:rsidR="00F06C3E" w:rsidRPr="00C030B4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4EB97DF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C3E" w14:paraId="0765CD50" w14:textId="77777777" w:rsidTr="00F06C3E">
        <w:trPr>
          <w:jc w:val="center"/>
        </w:trPr>
        <w:tc>
          <w:tcPr>
            <w:tcW w:w="1166" w:type="dxa"/>
          </w:tcPr>
          <w:p w14:paraId="1C617B69" w14:textId="1D60275B" w:rsidR="00F06C3E" w:rsidRPr="006D026E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7B4B9FB0" w:rsidR="00F06C3E" w:rsidRPr="00C030B4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6399E2C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50475240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186EFA80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5C5A6D59" w:rsidR="00F06C3E" w:rsidRPr="00C030B4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D083B89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C3E" w14:paraId="1AC28F09" w14:textId="77777777" w:rsidTr="00F06C3E">
        <w:trPr>
          <w:jc w:val="center"/>
        </w:trPr>
        <w:tc>
          <w:tcPr>
            <w:tcW w:w="1166" w:type="dxa"/>
          </w:tcPr>
          <w:p w14:paraId="6C19C01F" w14:textId="6F63FF88" w:rsidR="00F06C3E" w:rsidRPr="006D026E" w:rsidRDefault="003228F1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U03</w:t>
            </w:r>
          </w:p>
        </w:tc>
        <w:tc>
          <w:tcPr>
            <w:tcW w:w="425" w:type="dxa"/>
          </w:tcPr>
          <w:p w14:paraId="32EC56A1" w14:textId="1F3A1129" w:rsidR="00F06C3E" w:rsidRPr="00C030B4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FC43196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4AF0BD4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590AB" w14:textId="77777777" w:rsidR="00F06C3E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6BC2FE" w14:textId="26BD7B83" w:rsidR="00F06C3E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2246011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8864530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2193A8C" w14:textId="1421DE27" w:rsidR="00F06C3E" w:rsidRPr="00C030B4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CE7ED38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C3E" w14:paraId="705E07EE" w14:textId="77777777" w:rsidTr="00F06C3E">
        <w:trPr>
          <w:jc w:val="center"/>
        </w:trPr>
        <w:tc>
          <w:tcPr>
            <w:tcW w:w="1166" w:type="dxa"/>
          </w:tcPr>
          <w:p w14:paraId="6782306E" w14:textId="0CD29B3D" w:rsidR="00F06C3E" w:rsidRPr="006D026E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11B10CDE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748CD04C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17324CD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2544A71" w:rsidR="00F06C3E" w:rsidRPr="00C030B4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562E02B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C3E" w14:paraId="33CF27AC" w14:textId="77777777" w:rsidTr="00F06C3E">
        <w:trPr>
          <w:jc w:val="center"/>
        </w:trPr>
        <w:tc>
          <w:tcPr>
            <w:tcW w:w="1166" w:type="dxa"/>
          </w:tcPr>
          <w:p w14:paraId="0F8C76FD" w14:textId="60EE9A66" w:rsidR="00F06C3E" w:rsidRPr="006D026E" w:rsidRDefault="003228F1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1ABD7DB6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28C80FE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33D8670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5B3B66" w14:textId="77777777" w:rsidR="00F06C3E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902812F" w14:textId="4E3810F4" w:rsidR="00F06C3E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022CCB4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213ED0E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7A1FDB" w14:textId="26B8CDCF" w:rsidR="00F06C3E" w:rsidRPr="00C030B4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524F25F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C3E" w14:paraId="2D7365FC" w14:textId="77777777" w:rsidTr="00F06C3E">
        <w:trPr>
          <w:jc w:val="center"/>
        </w:trPr>
        <w:tc>
          <w:tcPr>
            <w:tcW w:w="1166" w:type="dxa"/>
          </w:tcPr>
          <w:p w14:paraId="699C64CD" w14:textId="7E47A711" w:rsidR="00F06C3E" w:rsidRPr="006D026E" w:rsidRDefault="003228F1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K03</w:t>
            </w:r>
          </w:p>
        </w:tc>
        <w:tc>
          <w:tcPr>
            <w:tcW w:w="425" w:type="dxa"/>
          </w:tcPr>
          <w:p w14:paraId="2FD3EF87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98ECD3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5C2523D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AD9C41A" w14:textId="77777777" w:rsidR="00F06C3E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F450066" w14:textId="57EF3B9A" w:rsidR="00F06C3E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52D12B5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3398CD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F79AB4B" w14:textId="1ABC4250" w:rsidR="00F06C3E" w:rsidRPr="00C030B4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9AD2646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C3E" w14:paraId="7A4732E3" w14:textId="77777777" w:rsidTr="00F06C3E">
        <w:trPr>
          <w:jc w:val="center"/>
        </w:trPr>
        <w:tc>
          <w:tcPr>
            <w:tcW w:w="1166" w:type="dxa"/>
          </w:tcPr>
          <w:p w14:paraId="083D430C" w14:textId="1726C59C" w:rsidR="00F06C3E" w:rsidRPr="006D026E" w:rsidRDefault="003228F1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K04</w:t>
            </w:r>
          </w:p>
        </w:tc>
        <w:tc>
          <w:tcPr>
            <w:tcW w:w="425" w:type="dxa"/>
          </w:tcPr>
          <w:p w14:paraId="3141D650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C78252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1DF53AA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996C5C" w14:textId="77777777" w:rsidR="00F06C3E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DEE9D3" w14:textId="0FCE706B" w:rsidR="00F06C3E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1BD2CC7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16BA223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937FC5E" w14:textId="4C6DE8FE" w:rsidR="00F06C3E" w:rsidRPr="00C030B4" w:rsidRDefault="003228F1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3D99251" w14:textId="77777777" w:rsidR="00F06C3E" w:rsidRPr="00C030B4" w:rsidRDefault="00F06C3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00B71B38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wykładach 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0B9BF4E9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90F3FA5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E1C8D1B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lastRenderedPageBreak/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85E23BF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5909A0B4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6166F015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4515358A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6E8E0F2E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5AE94BC6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2933C6E0" w:rsidR="005A3806" w:rsidRPr="00A07F11" w:rsidRDefault="005E5679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4927678" w:rsidR="005A3806" w:rsidRPr="00A07F11" w:rsidRDefault="005E5679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3C5CE915" w:rsidR="005A3806" w:rsidRDefault="005E5679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0B4359C6" w:rsidR="005A3806" w:rsidRDefault="005E5679">
            <w:pPr>
              <w:ind w:left="32"/>
              <w:jc w:val="center"/>
            </w:pPr>
            <w:r>
              <w:t>20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31FE9BE3" w:rsidR="005A3806" w:rsidRDefault="00000000">
            <w:r>
              <w:rPr>
                <w:sz w:val="21"/>
              </w:rPr>
              <w:t xml:space="preserve">Udział w ćwiczeniach*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472BE203" w:rsidR="005A3806" w:rsidRDefault="005E5679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1229D2B6" w:rsidR="005A3806" w:rsidRDefault="005E5679">
            <w:pPr>
              <w:ind w:left="32"/>
              <w:jc w:val="center"/>
            </w:pPr>
            <w:r>
              <w:t>15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57522010" w:rsidR="005A3806" w:rsidRPr="00A07F11" w:rsidRDefault="005E5679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2FC47ED2" w:rsidR="005A3806" w:rsidRPr="00A07F11" w:rsidRDefault="005E5679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1974738C" w:rsidR="005A3806" w:rsidRDefault="005E5679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1EFCAA42" w:rsidR="005A3806" w:rsidRDefault="005E5679">
            <w:pPr>
              <w:ind w:left="32"/>
              <w:jc w:val="center"/>
            </w:pPr>
            <w:r>
              <w:t>20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3451376E" w:rsidR="005A3806" w:rsidRDefault="00000000">
            <w:r>
              <w:rPr>
                <w:sz w:val="21"/>
              </w:rPr>
              <w:t xml:space="preserve">Przygotowanie do ćwiczeń*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7C799232" w:rsidR="005A3806" w:rsidRDefault="005E5679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7F085216" w:rsidR="005A3806" w:rsidRDefault="005E5679">
            <w:pPr>
              <w:ind w:left="32"/>
              <w:jc w:val="center"/>
            </w:pPr>
            <w:r>
              <w:t>30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00000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60DF7BEC" w:rsidR="005A3806" w:rsidRDefault="005E5679">
            <w:pPr>
              <w:ind w:left="30"/>
              <w:jc w:val="center"/>
            </w:pPr>
            <w:r>
              <w:t>35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5B34B933" w:rsidR="005A3806" w:rsidRDefault="005E5679">
            <w:pPr>
              <w:ind w:left="32"/>
              <w:jc w:val="center"/>
            </w:pPr>
            <w:r>
              <w:t>40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0DE708DD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5E5679">
              <w:rPr>
                <w:b/>
                <w:sz w:val="21"/>
              </w:rPr>
              <w:t>125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01CEDC5E" w:rsidR="005A3806" w:rsidRDefault="005E5679">
            <w:pPr>
              <w:ind w:left="32"/>
              <w:jc w:val="center"/>
            </w:pPr>
            <w:r>
              <w:rPr>
                <w:b/>
                <w:sz w:val="21"/>
              </w:rPr>
              <w:t>125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66EAA72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5E5679">
              <w:rPr>
                <w:b/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70C6CF0A" w:rsidR="005A3806" w:rsidRDefault="005E5679">
            <w:pPr>
              <w:ind w:left="32"/>
              <w:jc w:val="center"/>
            </w:pPr>
            <w:r>
              <w:rPr>
                <w:b/>
                <w:sz w:val="21"/>
              </w:rPr>
              <w:t>5</w:t>
            </w:r>
          </w:p>
        </w:tc>
      </w:tr>
    </w:tbl>
    <w:p w14:paraId="3F08E3B4" w14:textId="2FB42DB6" w:rsidR="004A1C49" w:rsidRPr="005E5679" w:rsidRDefault="00000000" w:rsidP="005E5679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8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2"/>
  </w:num>
  <w:num w:numId="2" w16cid:durableId="204097126">
    <w:abstractNumId w:val="10"/>
  </w:num>
  <w:num w:numId="3" w16cid:durableId="474951984">
    <w:abstractNumId w:val="5"/>
  </w:num>
  <w:num w:numId="4" w16cid:durableId="978191765">
    <w:abstractNumId w:val="4"/>
  </w:num>
  <w:num w:numId="5" w16cid:durableId="1675843166">
    <w:abstractNumId w:val="1"/>
  </w:num>
  <w:num w:numId="6" w16cid:durableId="1888494969">
    <w:abstractNumId w:val="11"/>
  </w:num>
  <w:num w:numId="7" w16cid:durableId="285704002">
    <w:abstractNumId w:val="8"/>
  </w:num>
  <w:num w:numId="8" w16cid:durableId="1388794099">
    <w:abstractNumId w:val="3"/>
  </w:num>
  <w:num w:numId="9" w16cid:durableId="1015766033">
    <w:abstractNumId w:val="9"/>
  </w:num>
  <w:num w:numId="10" w16cid:durableId="612400775">
    <w:abstractNumId w:val="13"/>
  </w:num>
  <w:num w:numId="11" w16cid:durableId="178852915">
    <w:abstractNumId w:val="2"/>
  </w:num>
  <w:num w:numId="12" w16cid:durableId="34494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7"/>
  </w:num>
  <w:num w:numId="14" w16cid:durableId="103765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87DAA"/>
    <w:rsid w:val="00091754"/>
    <w:rsid w:val="00146517"/>
    <w:rsid w:val="00150C49"/>
    <w:rsid w:val="00200FFB"/>
    <w:rsid w:val="002068C3"/>
    <w:rsid w:val="0022569A"/>
    <w:rsid w:val="0025381E"/>
    <w:rsid w:val="0028733E"/>
    <w:rsid w:val="00290604"/>
    <w:rsid w:val="002A4270"/>
    <w:rsid w:val="002D7037"/>
    <w:rsid w:val="003119A1"/>
    <w:rsid w:val="003228F1"/>
    <w:rsid w:val="003265A8"/>
    <w:rsid w:val="0033175A"/>
    <w:rsid w:val="0039653C"/>
    <w:rsid w:val="003A3B70"/>
    <w:rsid w:val="003B469B"/>
    <w:rsid w:val="00410F62"/>
    <w:rsid w:val="00427C1B"/>
    <w:rsid w:val="00455FE5"/>
    <w:rsid w:val="0046541A"/>
    <w:rsid w:val="0047212D"/>
    <w:rsid w:val="004A1C49"/>
    <w:rsid w:val="004C40E9"/>
    <w:rsid w:val="005418E2"/>
    <w:rsid w:val="005670F2"/>
    <w:rsid w:val="005943C6"/>
    <w:rsid w:val="005A3806"/>
    <w:rsid w:val="005C2851"/>
    <w:rsid w:val="005E5679"/>
    <w:rsid w:val="00636063"/>
    <w:rsid w:val="006B1E0C"/>
    <w:rsid w:val="006C4D5B"/>
    <w:rsid w:val="006D026E"/>
    <w:rsid w:val="006F0CC6"/>
    <w:rsid w:val="00706A2D"/>
    <w:rsid w:val="007266BF"/>
    <w:rsid w:val="00751E02"/>
    <w:rsid w:val="007737D9"/>
    <w:rsid w:val="0078209C"/>
    <w:rsid w:val="007942A4"/>
    <w:rsid w:val="007949A3"/>
    <w:rsid w:val="007D408C"/>
    <w:rsid w:val="007F1F2A"/>
    <w:rsid w:val="00823E5C"/>
    <w:rsid w:val="00852768"/>
    <w:rsid w:val="00872EA8"/>
    <w:rsid w:val="008D07DD"/>
    <w:rsid w:val="00906481"/>
    <w:rsid w:val="009118E7"/>
    <w:rsid w:val="00992043"/>
    <w:rsid w:val="009D3544"/>
    <w:rsid w:val="00A07F11"/>
    <w:rsid w:val="00A302C9"/>
    <w:rsid w:val="00A46317"/>
    <w:rsid w:val="00A54185"/>
    <w:rsid w:val="00AB5DB1"/>
    <w:rsid w:val="00AD2927"/>
    <w:rsid w:val="00B17D6A"/>
    <w:rsid w:val="00B51939"/>
    <w:rsid w:val="00BA246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B2F65"/>
    <w:rsid w:val="00D312EE"/>
    <w:rsid w:val="00D73196"/>
    <w:rsid w:val="00DB2C37"/>
    <w:rsid w:val="00DB7C17"/>
    <w:rsid w:val="00DC34E7"/>
    <w:rsid w:val="00DE0334"/>
    <w:rsid w:val="00E36F2D"/>
    <w:rsid w:val="00E42FC4"/>
    <w:rsid w:val="00E71373"/>
    <w:rsid w:val="00E92D65"/>
    <w:rsid w:val="00ED7481"/>
    <w:rsid w:val="00F020AA"/>
    <w:rsid w:val="00F02341"/>
    <w:rsid w:val="00F06C3E"/>
    <w:rsid w:val="00F23E2D"/>
    <w:rsid w:val="00F24434"/>
    <w:rsid w:val="00F247C3"/>
    <w:rsid w:val="00F74A70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1482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Angelika Szczepanik-Paśnik</cp:lastModifiedBy>
  <cp:revision>13</cp:revision>
  <dcterms:created xsi:type="dcterms:W3CDTF">2026-02-09T10:15:00Z</dcterms:created>
  <dcterms:modified xsi:type="dcterms:W3CDTF">2026-06-27T08:34:00Z</dcterms:modified>
</cp:coreProperties>
</file>