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A06F" w14:textId="77777777" w:rsidR="001511D9" w:rsidRPr="00E5063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DAD8A68" w14:textId="77777777" w:rsidR="001511D9" w:rsidRPr="00E5063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E50635" w14:paraId="4D89D85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794" w14:textId="77777777" w:rsidR="001511D9" w:rsidRPr="00E5063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523C4" w14:textId="77777777" w:rsidR="001511D9" w:rsidRPr="00E50635" w:rsidRDefault="00F97D00" w:rsidP="00F97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0313.3.PSY.F12.OFPOwWS</w:t>
            </w:r>
          </w:p>
        </w:tc>
      </w:tr>
      <w:tr w:rsidR="0027516D" w:rsidRPr="00F95F23" w14:paraId="0696ACC2" w14:textId="77777777" w:rsidTr="00871D3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089" w14:textId="77777777" w:rsidR="0027516D" w:rsidRPr="00E50635" w:rsidRDefault="0027516D" w:rsidP="002751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F10" w14:textId="77777777" w:rsidR="0027516D" w:rsidRPr="00E50635" w:rsidRDefault="0027516D" w:rsidP="002751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583BD" w14:textId="77777777" w:rsidR="008840A7" w:rsidRPr="00F95F23" w:rsidRDefault="0027516D" w:rsidP="008840A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95F2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</w:t>
            </w:r>
            <w:r w:rsidR="008840A7" w:rsidRPr="00F95F2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Ocena funkcjonowania poznawczego osób w wieku senioralnym </w:t>
            </w:r>
          </w:p>
          <w:p w14:paraId="4DDBDC13" w14:textId="77777777" w:rsidR="0027516D" w:rsidRPr="00F95F23" w:rsidRDefault="008840A7" w:rsidP="00F95F2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F95F2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                     </w:t>
            </w:r>
            <w:r w:rsidR="00F95F2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Evaluation of S</w:t>
            </w:r>
            <w:r w:rsidR="00E50635" w:rsidRPr="00F95F2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eniors</w:t>
            </w:r>
            <w:r w:rsidR="00F95F23" w:rsidRPr="00F95F2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'</w:t>
            </w:r>
            <w:r w:rsidR="00F95F2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 Cognitive F</w:t>
            </w:r>
            <w:r w:rsidR="00F95F23" w:rsidRPr="00F95F2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unctioning</w:t>
            </w:r>
          </w:p>
        </w:tc>
      </w:tr>
      <w:tr w:rsidR="0027516D" w:rsidRPr="00E50635" w14:paraId="7967ABD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883" w14:textId="77777777" w:rsidR="0027516D" w:rsidRPr="00F95F23" w:rsidRDefault="0027516D" w:rsidP="002751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F9B" w14:textId="77777777" w:rsidR="0027516D" w:rsidRPr="00E50635" w:rsidRDefault="0027516D" w:rsidP="002751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B3A" w14:textId="77777777" w:rsidR="0027516D" w:rsidRPr="00E50635" w:rsidRDefault="0027516D" w:rsidP="002751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9375269" w14:textId="77777777" w:rsidR="001511D9" w:rsidRPr="00E5063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6145C1" w14:textId="77777777" w:rsidR="001511D9" w:rsidRPr="00E50635" w:rsidRDefault="001511D9" w:rsidP="00B37F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E50635" w14:paraId="376F54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57D" w14:textId="77777777" w:rsidR="001511D9" w:rsidRPr="00E5063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001" w14:textId="77777777" w:rsidR="001511D9" w:rsidRPr="00E50635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E50635" w14:paraId="44195F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7C9" w14:textId="77777777" w:rsidR="001511D9" w:rsidRPr="00E5063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43B" w14:textId="77777777" w:rsidR="001511D9" w:rsidRPr="00E5063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E50635" w14:paraId="4DE238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224" w14:textId="77777777" w:rsidR="001511D9" w:rsidRPr="00E5063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FC8" w14:textId="77777777" w:rsidR="00283E57" w:rsidRPr="00E50635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E50635" w14:paraId="1133260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669" w14:textId="77777777" w:rsidR="001511D9" w:rsidRPr="00E5063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0E0" w14:textId="77777777" w:rsidR="001511D9" w:rsidRPr="00E5063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E50635" w14:paraId="6D6A472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ECC" w14:textId="77777777" w:rsidR="001511D9" w:rsidRPr="00E5063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C4A" w14:textId="77777777" w:rsidR="001511D9" w:rsidRPr="00E50635" w:rsidRDefault="00E5063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27516D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Bogumiła Witkowska-Łuć</w:t>
            </w:r>
          </w:p>
        </w:tc>
      </w:tr>
      <w:tr w:rsidR="001511D9" w:rsidRPr="00E50635" w14:paraId="799D14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074" w14:textId="77777777" w:rsidR="001511D9" w:rsidRPr="00E5063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338" w14:textId="77777777" w:rsidR="001511D9" w:rsidRPr="00E50635" w:rsidRDefault="002751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bogumila.witkowska@ujk.edu.pl</w:t>
            </w:r>
          </w:p>
        </w:tc>
      </w:tr>
    </w:tbl>
    <w:p w14:paraId="1A1D1F6E" w14:textId="77777777" w:rsidR="001511D9" w:rsidRPr="00E5063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4B8145" w14:textId="77777777" w:rsidR="001511D9" w:rsidRPr="00E50635" w:rsidRDefault="001511D9" w:rsidP="00B37F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E50635" w14:paraId="7A6400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AC0" w14:textId="77777777" w:rsidR="001511D9" w:rsidRPr="00E5063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D29" w14:textId="77777777" w:rsidR="001511D9" w:rsidRPr="00E50635" w:rsidRDefault="00E5063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Język </w:t>
            </w:r>
            <w:r w:rsidR="0027516D" w:rsidRPr="00E5063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E50635" w14:paraId="43BAE3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F11" w14:textId="77777777" w:rsidR="001511D9" w:rsidRPr="00E5063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035" w14:textId="77777777" w:rsidR="001D4D83" w:rsidRPr="00E50635" w:rsidRDefault="0027516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Pozytywna ocena </w:t>
            </w:r>
            <w:r w:rsidR="008840A7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Psychologii procesów poznawczych, Psychologii klinicznej, </w:t>
            </w:r>
            <w:r w:rsidR="008840A7" w:rsidRPr="00E506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Diagnozy psychologicznej</w:t>
            </w:r>
            <w:r w:rsidR="008840A7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Psychiatrii</w:t>
            </w:r>
            <w:r w:rsidR="008840A7" w:rsidRPr="00E506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klinicznej, Psychopatologii dorosłych i seniorów, </w:t>
            </w:r>
          </w:p>
        </w:tc>
      </w:tr>
    </w:tbl>
    <w:p w14:paraId="73BE8A84" w14:textId="77777777" w:rsidR="001511D9" w:rsidRPr="00E5063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D4DC24" w14:textId="77777777" w:rsidR="001E4083" w:rsidRPr="00E50635" w:rsidRDefault="001E4083" w:rsidP="00B37F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E50635" w14:paraId="5281585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4A63" w14:textId="77777777" w:rsidR="001511D9" w:rsidRPr="00E50635" w:rsidRDefault="001511D9" w:rsidP="00B37F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4CD" w14:textId="77777777" w:rsidR="001511D9" w:rsidRPr="00E50635" w:rsidRDefault="008840A7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27516D" w:rsidRPr="00E50635">
              <w:rPr>
                <w:rFonts w:ascii="Times New Roman" w:hAnsi="Times New Roman" w:cs="Times New Roman"/>
                <w:sz w:val="20"/>
                <w:szCs w:val="20"/>
              </w:rPr>
              <w:t>wiczenia</w:t>
            </w:r>
          </w:p>
        </w:tc>
      </w:tr>
      <w:tr w:rsidR="001511D9" w:rsidRPr="00E50635" w14:paraId="3B1EE0A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93E" w14:textId="77777777" w:rsidR="001511D9" w:rsidRPr="00E50635" w:rsidRDefault="00B6239F" w:rsidP="00B37F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CBC" w14:textId="77777777" w:rsidR="001511D9" w:rsidRPr="00E50635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E50635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27516D" w:rsidRPr="00E50635" w14:paraId="6355BA3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CFA" w14:textId="77777777" w:rsidR="0027516D" w:rsidRPr="00E50635" w:rsidRDefault="0027516D" w:rsidP="00B37F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B8A" w14:textId="77777777" w:rsidR="0027516D" w:rsidRPr="00E50635" w:rsidRDefault="00883F85" w:rsidP="002751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7516D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  <w:r w:rsid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ćwiczenia</w:t>
            </w:r>
          </w:p>
        </w:tc>
      </w:tr>
      <w:tr w:rsidR="0027516D" w:rsidRPr="00E50635" w14:paraId="4C238AB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EE4" w14:textId="77777777" w:rsidR="0027516D" w:rsidRPr="00E50635" w:rsidRDefault="0027516D" w:rsidP="00B37F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947" w14:textId="77777777" w:rsidR="0027516D" w:rsidRPr="00E50635" w:rsidRDefault="0027516D" w:rsidP="0027516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50635">
              <w:rPr>
                <w:rFonts w:eastAsia="Times New Roman"/>
                <w:b/>
                <w:sz w:val="20"/>
                <w:szCs w:val="20"/>
              </w:rPr>
              <w:t>Praktyczne</w:t>
            </w:r>
            <w:r w:rsidRPr="00E50635">
              <w:rPr>
                <w:rFonts w:eastAsia="Times New Roman"/>
                <w:sz w:val="20"/>
                <w:szCs w:val="20"/>
              </w:rPr>
              <w:t>: ćwiczenia przedmiotowe, metoda analizy przypadków</w:t>
            </w:r>
            <w:r w:rsidR="008840A7" w:rsidRPr="00E50635">
              <w:rPr>
                <w:rFonts w:eastAsia="Times New Roman"/>
                <w:sz w:val="20"/>
                <w:szCs w:val="20"/>
              </w:rPr>
              <w:t>,</w:t>
            </w:r>
            <w:r w:rsidR="008840A7" w:rsidRPr="00E50635">
              <w:rPr>
                <w:iCs/>
                <w:sz w:val="20"/>
                <w:szCs w:val="20"/>
              </w:rPr>
              <w:t xml:space="preserve">  dyskusja wielokrotna (grupowa), </w:t>
            </w:r>
            <w:r w:rsidR="008840A7" w:rsidRPr="00E50635">
              <w:rPr>
                <w:b/>
                <w:iCs/>
                <w:sz w:val="20"/>
                <w:szCs w:val="20"/>
              </w:rPr>
              <w:t xml:space="preserve"> </w:t>
            </w:r>
            <w:r w:rsidR="008840A7" w:rsidRPr="00E50635">
              <w:rPr>
                <w:iCs/>
                <w:sz w:val="20"/>
                <w:szCs w:val="20"/>
              </w:rPr>
              <w:t xml:space="preserve">dyskusja – burza mózgów </w:t>
            </w:r>
          </w:p>
        </w:tc>
      </w:tr>
      <w:tr w:rsidR="001B2039" w:rsidRPr="00E50635" w14:paraId="3A35913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48F" w14:textId="77777777" w:rsidR="001B2039" w:rsidRPr="00E50635" w:rsidRDefault="001B2039" w:rsidP="00B37F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42" w14:textId="77777777" w:rsidR="001B2039" w:rsidRPr="00E50635" w:rsidRDefault="001B2039" w:rsidP="001B203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52EAA" w14:textId="77777777" w:rsidR="008840A7" w:rsidRPr="00E50635" w:rsidRDefault="008840A7" w:rsidP="00F95F23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Jaworowska A. (2002). </w:t>
            </w: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Test Sortowania Kart z Wisconsin.</w:t>
            </w: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Podręcznik. Warszawa: Pracownia Testów Psychologicznych Polskiego Towarzystwa Psychologicznego.</w:t>
            </w:r>
          </w:p>
          <w:p w14:paraId="33FBFECF" w14:textId="77777777" w:rsidR="008840A7" w:rsidRPr="00C01E74" w:rsidRDefault="008840A7" w:rsidP="00F95F23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C01E74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Krzymiński, S. (1995). </w:t>
            </w:r>
            <w:r w:rsidRPr="00C01E74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  <w:lang w:val="pl-PL" w:eastAsia="pl-PL"/>
              </w:rPr>
              <w:t>Test rysowania zegara</w:t>
            </w:r>
            <w:r w:rsidRPr="00C01E74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>. Postępy Psychiatrii i Neurologii, 4, 1(2), 21-30.</w:t>
            </w:r>
          </w:p>
          <w:p w14:paraId="656B16E0" w14:textId="77777777" w:rsidR="008840A7" w:rsidRPr="00E50635" w:rsidRDefault="008840A7" w:rsidP="00F95F23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Łojek E, Stańczak J. (2004). </w:t>
            </w: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Test Płynności Figuralnej Ruffa</w:t>
            </w: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Polska adaptacja i normalizacja. Podręcznik. Warszawa: Pracownia Testów Psychologicznych Polskiego Towarzystwa Psychologicznego.</w:t>
            </w:r>
          </w:p>
          <w:p w14:paraId="58597ABF" w14:textId="77777777" w:rsidR="008840A7" w:rsidRPr="00E50635" w:rsidRDefault="008840A7" w:rsidP="00F95F23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E50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Piskunowicz, M., Bieliński, M., Zgliński, A., Borkowska, A. (2013). </w:t>
            </w:r>
            <w:r w:rsidRPr="00E50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Test Fluencji Słownej - zastosowanie w diagnostyce neuropsychologicznej.</w:t>
            </w:r>
            <w:r w:rsidRPr="00E50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Psychiatria Polska, t. XLVII.</w:t>
            </w:r>
          </w:p>
          <w:p w14:paraId="7BC6D663" w14:textId="77777777" w:rsidR="001B2039" w:rsidRPr="00E50635" w:rsidRDefault="008840A7" w:rsidP="00F95F2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Sivan A.B. (1996). </w:t>
            </w: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Test Pamięci Wzrokowej Bentona</w:t>
            </w: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Podręcznik. Warszawa: Pracownia Testów Psychologicznych Polskiego Towarzystwa Psychologicznego.</w:t>
            </w:r>
          </w:p>
          <w:p w14:paraId="161B8E7A" w14:textId="77777777" w:rsidR="00AB59F6" w:rsidRPr="00E50635" w:rsidRDefault="00AB59F6" w:rsidP="00F95F2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Franklin, N. C., Tate, Ch., A. (2009). Lifestyle and successful aging: an overview. </w:t>
            </w: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American Journal of Lifestyle Medicine, 3 (1), 6-11.</w:t>
            </w:r>
          </w:p>
        </w:tc>
      </w:tr>
      <w:tr w:rsidR="001B2039" w:rsidRPr="00E50635" w14:paraId="6110B78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1D1" w14:textId="77777777" w:rsidR="001B2039" w:rsidRPr="00E50635" w:rsidRDefault="001B2039" w:rsidP="001B203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2EB" w14:textId="77777777" w:rsidR="001B2039" w:rsidRPr="00E50635" w:rsidRDefault="001B2039" w:rsidP="001B203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2F6" w14:textId="77777777" w:rsidR="008840A7" w:rsidRPr="00C01E74" w:rsidRDefault="008840A7" w:rsidP="00F95F23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C01E74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Borowicz A.M., Forycka M., Wieczorkowska-Tobis K. (2015). </w:t>
            </w:r>
            <w:r w:rsidRPr="00C01E74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  <w:t>Rehabilitacja osób z zaburzeniami funkcji poznawczych</w:t>
            </w:r>
            <w:r w:rsidRPr="00C01E74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. Warszawa: PZWL.</w:t>
            </w:r>
          </w:p>
          <w:p w14:paraId="3E32AF4B" w14:textId="77777777" w:rsidR="008840A7" w:rsidRPr="00C01E74" w:rsidRDefault="008840A7" w:rsidP="00F95F23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C01E74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Grochmal-Bach B. (2007). </w:t>
            </w:r>
            <w:r w:rsidRPr="00C01E74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  <w:t>Cierpienie osób z otępieniem typu Alzheimera . Podejście terapeutyczne</w:t>
            </w:r>
            <w:r w:rsidRPr="00C01E74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. Kraków: Wyższa Szkoła Filozoficzno-Pedagogiczna „Ignatianum” Wydawnictwo WAM.</w:t>
            </w:r>
          </w:p>
          <w:p w14:paraId="397BA7B0" w14:textId="77777777" w:rsidR="008840A7" w:rsidRPr="00C01E74" w:rsidRDefault="008840A7" w:rsidP="00F95F23">
            <w:pPr>
              <w:pStyle w:val="Tekstpodstawowy"/>
              <w:numPr>
                <w:ilvl w:val="0"/>
                <w:numId w:val="10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C01E74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Nowicka A. (2008). </w:t>
            </w:r>
            <w:r w:rsidRPr="00C01E74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  <w:lang w:val="pl-PL" w:eastAsia="pl-PL"/>
              </w:rPr>
              <w:t>Wybrane problemy osób starszych.</w:t>
            </w:r>
            <w:r w:rsidRPr="00C01E74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 Kraków: Oficyna Wydawnicza „Impuls”.</w:t>
            </w:r>
          </w:p>
          <w:p w14:paraId="57DCE3CD" w14:textId="77777777" w:rsidR="008840A7" w:rsidRPr="00E50635" w:rsidRDefault="008840A7" w:rsidP="00F95F23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Steuden S. (2011). </w:t>
            </w: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Psychologia starzenia się i starości</w:t>
            </w: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Warszawa: Wydawnictwo PWN.</w:t>
            </w:r>
          </w:p>
          <w:p w14:paraId="501C19A5" w14:textId="77777777" w:rsidR="001B2039" w:rsidRPr="00E50635" w:rsidRDefault="008840A7" w:rsidP="00F95F23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E50635">
              <w:rPr>
                <w:rFonts w:cs="Times New Roman"/>
                <w:color w:val="auto"/>
                <w:sz w:val="20"/>
                <w:szCs w:val="20"/>
              </w:rPr>
              <w:t xml:space="preserve">Strupczewska B. (1990). </w:t>
            </w:r>
            <w:r w:rsidRPr="00E50635">
              <w:rPr>
                <w:rFonts w:cs="Times New Roman"/>
                <w:i/>
                <w:color w:val="auto"/>
                <w:sz w:val="20"/>
                <w:szCs w:val="20"/>
              </w:rPr>
              <w:t>Test Figury Złożonej Rey-Osterreith’a (TFZ).</w:t>
            </w:r>
            <w:r w:rsidRPr="00E50635">
              <w:rPr>
                <w:rFonts w:cs="Times New Roman"/>
                <w:color w:val="auto"/>
                <w:sz w:val="20"/>
                <w:szCs w:val="20"/>
              </w:rPr>
              <w:t xml:space="preserve"> Podręcznik. Warszawa: Centralny Ośrodek Metodyczny Poradnictwa Wychowawczo-Zawodowego Ministerstwa Edukacji Narodowej.</w:t>
            </w:r>
          </w:p>
        </w:tc>
      </w:tr>
    </w:tbl>
    <w:p w14:paraId="595E18DA" w14:textId="77777777" w:rsidR="001511D9" w:rsidRPr="00E5063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EC365F" w14:textId="77777777" w:rsidR="001511D9" w:rsidRPr="00E50635" w:rsidRDefault="001511D9" w:rsidP="00B37F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E5063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B5E91" w:rsidRPr="00E50635" w14:paraId="2373CFA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7F74" w14:textId="77777777" w:rsidR="005B5E91" w:rsidRPr="00E50635" w:rsidRDefault="005B5E91" w:rsidP="00B37F4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699C4DAB" w14:textId="77777777" w:rsidR="005B5E91" w:rsidRPr="00E50635" w:rsidRDefault="005B5E91" w:rsidP="005B5E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Zapoznanie z problematyką starzenia się oraz z narzędziami służącymi do oceny funkcji poznawczych u osób starszych; </w:t>
            </w:r>
          </w:p>
          <w:p w14:paraId="2C5C92BB" w14:textId="77777777" w:rsidR="005B5E91" w:rsidRPr="00E50635" w:rsidRDefault="005B5E91" w:rsidP="005B5E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Posiadanie umiejętności pomiaru i interpretacji wyników funkcji poznawczych u osób starszych;</w:t>
            </w:r>
          </w:p>
          <w:p w14:paraId="7675E234" w14:textId="77777777" w:rsidR="005B5E91" w:rsidRPr="00E50635" w:rsidRDefault="005B5E91" w:rsidP="005B5E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Prezentowanie postawy zrozumienia i tolerancji wobec problemów osób starszych oraz udzielanie wsparcia psychologicznego osobom w wieku senioralnym;</w:t>
            </w:r>
          </w:p>
        </w:tc>
      </w:tr>
      <w:tr w:rsidR="005B5E91" w:rsidRPr="00E50635" w14:paraId="584A255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074" w14:textId="77777777" w:rsidR="005B5E91" w:rsidRPr="00E50635" w:rsidRDefault="005B5E91" w:rsidP="00B37F4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E36B7DB" w14:textId="77777777" w:rsidR="005B5E91" w:rsidRPr="00E50635" w:rsidRDefault="005B5E91" w:rsidP="005B5E9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43844F8" w14:textId="77777777" w:rsidR="005B5E91" w:rsidRPr="00E50635" w:rsidRDefault="005B5E91" w:rsidP="00B37F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Zapoznanie z kartą przedmiotu i warunkami zaliczenia. </w:t>
            </w:r>
          </w:p>
          <w:p w14:paraId="3DBAB409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Starość jako naturalna faza życia człowieka. Zdrowy (optymalny) i patologiczny przebieg starzenia się. </w:t>
            </w:r>
          </w:p>
          <w:p w14:paraId="3E99A439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sytuacji psychologicznej osoby starzejącej się. Stereotypy i uprzedzenia związane ze starzeniem się.</w:t>
            </w:r>
          </w:p>
          <w:p w14:paraId="273DE837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Zmiany narządowe oraz centralnego układu nerwowego towarzyszące procesowi starzenia się. Zmiany osobowości u osób starszych.</w:t>
            </w:r>
          </w:p>
          <w:p w14:paraId="0D0240BA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Wybrane choroby układu nerwowego: udar mózgu, choroba Alzheimera, choroba Parkinsona. </w:t>
            </w:r>
          </w:p>
          <w:p w14:paraId="2A79E2A2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Psychologiczne uwarunkowania zaburzeń funkcji poznawczych. Cz.1 Wymiar poznawczy funkcjonowania: percepcja, pamięć, myślenie, funkcje językowe, funkcje konstrukcyjne i praksja.</w:t>
            </w:r>
          </w:p>
          <w:p w14:paraId="20F82A22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Psychologiczne uwarunkowania zaburzeń funkcji poznawczych. Cz. 2 Wymiar funkcji wykonawczych. Wymiar funkcji globalnych.</w:t>
            </w:r>
          </w:p>
          <w:p w14:paraId="6B75268D" w14:textId="77777777" w:rsidR="005B5E91" w:rsidRPr="00E50635" w:rsidRDefault="005B5E91" w:rsidP="00B37F4C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oceny funkcjonowania poznawczego osób starszych. Cz.1 Metody przesiewowe. Krótka Skala Oceny Stanu Psychicznego (MMSE), Montrealska Skala Oceny Funkcji Poznawczych (MoCA), Test Rysowania Zegara.</w:t>
            </w:r>
          </w:p>
          <w:p w14:paraId="0854E503" w14:textId="77777777" w:rsidR="005B5E91" w:rsidRPr="00E50635" w:rsidRDefault="005B5E91" w:rsidP="005B5E91">
            <w:pPr>
              <w:pStyle w:val="Akapitzlist"/>
              <w:suppressAutoHyphens/>
              <w:snapToGrid w:val="0"/>
              <w:ind w:left="393"/>
              <w:contextualSpacing/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cs="Times New Roman"/>
                <w:color w:val="auto"/>
                <w:sz w:val="20"/>
                <w:szCs w:val="20"/>
              </w:rPr>
              <w:t>9-10.Metody oceny funkcjonowania poznawczego osób starszych. Cz. 2 Testy do oceny funkcji werbalnych. Test Nazywania, Test Fluencji Słownej, Powtarzanie Cyfr, Test Uczenia się 15 słów Reya, Kalifornijski Test Uczenia się Językowego, Test Uczenia się Skojarzeń.</w:t>
            </w:r>
          </w:p>
          <w:p w14:paraId="3BE26C3F" w14:textId="77777777" w:rsidR="005B5E91" w:rsidRPr="00E50635" w:rsidRDefault="005B5E91" w:rsidP="005B5E91">
            <w:pPr>
              <w:pStyle w:val="Akapitzlist"/>
              <w:suppressAutoHyphens/>
              <w:snapToGrid w:val="0"/>
              <w:ind w:left="393"/>
              <w:contextualSpacing/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cs="Times New Roman"/>
                <w:color w:val="auto"/>
                <w:sz w:val="20"/>
                <w:szCs w:val="20"/>
              </w:rPr>
              <w:t>11-12.Metody oceny funkcjonowania poznawczego osób starszych. Cz. 3 Testy do oceny funkcji wzrokowo-przestrzennych. Test Łączenia Punktów (TMT), Test Pamięci Wzrokowej Bentona (BVRT), Test Figury Złożonej Rey-Osterreith (CFT), Test Płynności Figuralnej Ruffa.</w:t>
            </w:r>
          </w:p>
          <w:p w14:paraId="785F83A7" w14:textId="77777777" w:rsidR="005B5E91" w:rsidRPr="00E50635" w:rsidRDefault="005B5E91" w:rsidP="00B37F4C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contextualSpacing/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cs="Times New Roman"/>
                <w:color w:val="auto"/>
                <w:sz w:val="20"/>
                <w:szCs w:val="20"/>
              </w:rPr>
              <w:t>Metody oceny funkcjonowania poznawczego osób starszych. Cz. 4 Testy do oceny funkcji wykonawczych. Test Sortowania Kart Wisconsin (WCST).</w:t>
            </w:r>
          </w:p>
          <w:p w14:paraId="034A848C" w14:textId="77777777" w:rsidR="005B5E91" w:rsidRPr="00E50635" w:rsidRDefault="005B5E91" w:rsidP="005B5E91">
            <w:pPr>
              <w:pStyle w:val="Akapitzlist"/>
              <w:suppressAutoHyphens/>
              <w:snapToGrid w:val="0"/>
              <w:ind w:left="393"/>
              <w:contextualSpacing/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cs="Times New Roman"/>
                <w:color w:val="auto"/>
                <w:sz w:val="20"/>
                <w:szCs w:val="20"/>
              </w:rPr>
              <w:t>14.Trening funkcji poznawczych dla osób starszych – możliwości i ograniczenia.</w:t>
            </w:r>
          </w:p>
          <w:p w14:paraId="5CCBB178" w14:textId="77777777" w:rsidR="005B5E91" w:rsidRPr="00E50635" w:rsidRDefault="005B5E91" w:rsidP="005B5E91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 Projektowanie działań praktycznych wspomagających funkcje poznawcze osób starszych.</w:t>
            </w:r>
          </w:p>
          <w:p w14:paraId="0D6434CC" w14:textId="77777777" w:rsidR="005B5E91" w:rsidRPr="00E50635" w:rsidRDefault="005B5E91" w:rsidP="005B5E9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F865889" w14:textId="77777777" w:rsidR="004B23CF" w:rsidRPr="00E50635" w:rsidRDefault="004B23CF" w:rsidP="00CE7F6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FFF5DE1" w14:textId="77777777" w:rsidR="00CE7F64" w:rsidRPr="00E50635" w:rsidRDefault="00CE7F64" w:rsidP="00B37F4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E5063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  <w:r w:rsidR="003D2051" w:rsidRPr="00E506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W w:w="96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6927"/>
        <w:gridCol w:w="1973"/>
      </w:tblGrid>
      <w:tr w:rsidR="00B6239F" w:rsidRPr="00E50635" w14:paraId="482A2F17" w14:textId="77777777" w:rsidTr="00E45D52">
        <w:trPr>
          <w:cantSplit/>
          <w:trHeight w:val="8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C15FFA" w14:textId="77777777" w:rsidR="00B6239F" w:rsidRPr="00E5063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821" w14:textId="77777777" w:rsidR="00B6239F" w:rsidRPr="00E5063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734" w14:textId="77777777" w:rsidR="00B6239F" w:rsidRPr="00E50635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E50635" w14:paraId="3A3C5149" w14:textId="77777777" w:rsidTr="007E0BF8">
        <w:trPr>
          <w:trHeight w:val="245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019" w14:textId="77777777" w:rsidR="00CE7F64" w:rsidRPr="00E50635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B1732" w:rsidRPr="00E50635" w14:paraId="017CF12D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2BD2" w14:textId="77777777" w:rsidR="00DB1732" w:rsidRPr="00E50635" w:rsidRDefault="00DB1732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A03" w14:textId="77777777" w:rsidR="00DB1732" w:rsidRPr="00E50635" w:rsidRDefault="00F97D00" w:rsidP="00DB17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posiada wiedzę na temat specyfiki metodologii badań psychologicznych w oparciu </w:t>
            </w:r>
            <w:r w:rsidRPr="00E50635">
              <w:rPr>
                <w:rFonts w:ascii="Times New Roman" w:hAnsi="Times New Roman" w:cs="Times New Roman"/>
                <w:sz w:val="20"/>
                <w:szCs w:val="20"/>
              </w:rPr>
              <w:br/>
              <w:t>o statystykę i psychometrię oraz posiada wiedzę na temat możliwości ich wykorzystania w diagnozie funkcjonowania poznawczego osób w wieku senioralnym oraz ich terapii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CF3" w14:textId="77777777" w:rsidR="00DB1732" w:rsidRPr="00E50635" w:rsidRDefault="00DB1732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PSYCH_W0</w:t>
            </w:r>
            <w:r w:rsidR="00F97D00" w:rsidRPr="00E50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BF8" w:rsidRPr="00E50635" w14:paraId="5BE851F1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5FC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597" w14:textId="77777777" w:rsidR="007E0BF8" w:rsidRPr="00E50635" w:rsidRDefault="00F97D00" w:rsidP="007E0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"/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zna terminologię używaną w ocenie funkcjonowania poznawczego osób w wieku senioralnym oraz jej zastosowanie w dyscyplinach pokrewnych na poziomie rozszerzonym, ze szczególnym uwzględnieniem nauk społecznych, humanistycznych i medycznych</w:t>
            </w:r>
            <w:bookmarkEnd w:id="0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A3F1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PSYCH_W</w:t>
            </w:r>
            <w:r w:rsidR="00F97D00" w:rsidRPr="00E5063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7E0BF8" w:rsidRPr="00E50635" w14:paraId="7CD782C4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6AB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271" w14:textId="77777777" w:rsidR="007E0BF8" w:rsidRPr="00E50635" w:rsidRDefault="00B31455" w:rsidP="007E0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zna i rozumie podstawowe pojęcia z zakresu ochrony własności intelektualnej i prawa autorskiego, zwłaszcza w odniesieniu do typowych narzędzi wykorzystywanych </w:t>
            </w:r>
            <w:r w:rsidRPr="00E50635">
              <w:rPr>
                <w:rFonts w:ascii="Times New Roman" w:hAnsi="Times New Roman" w:cs="Times New Roman"/>
                <w:sz w:val="20"/>
                <w:szCs w:val="20"/>
              </w:rPr>
              <w:br/>
              <w:t>w diagnozie funkcjonowania poznawczego osób w wieku senioralnym i podlegających takiej ochronie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20DD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PSYCH_W</w:t>
            </w:r>
            <w:r w:rsidR="00B31455" w:rsidRPr="00E5063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7E0BF8" w:rsidRPr="00E50635" w14:paraId="61E6BB3C" w14:textId="77777777" w:rsidTr="00E45D52">
        <w:trPr>
          <w:trHeight w:val="245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A27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E0BF8" w:rsidRPr="00E50635" w14:paraId="14EE1F00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CA61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66B" w14:textId="77777777" w:rsidR="007E0BF8" w:rsidRPr="00E50635" w:rsidRDefault="007E0BF8" w:rsidP="007E0B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potrafi posłużyć się psychologiczną wiedzą teoretyczną</w:t>
            </w:r>
            <w:r w:rsidR="00306C80"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 w charakteryzowaniu i analizie źródeł</w:t>
            </w:r>
            <w:r w:rsidR="00306C80"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 procesów psychospołecznych oraz potrafi w sposób krytyczny zastosować tę wiedzę w diagnozowaniu jednostki </w:t>
            </w:r>
            <w:r w:rsidR="00F97D00" w:rsidRPr="00E50635">
              <w:rPr>
                <w:rFonts w:ascii="Times New Roman" w:hAnsi="Times New Roman" w:cs="Times New Roman"/>
                <w:sz w:val="20"/>
                <w:szCs w:val="20"/>
              </w:rPr>
              <w:t>w wieku senioralnym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864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7E0BF8" w:rsidRPr="00E50635" w14:paraId="2F5A634D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FF19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91F" w14:textId="77777777" w:rsidR="007E0BF8" w:rsidRPr="00E50635" w:rsidRDefault="00F97D00" w:rsidP="007E0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posiada rozwiniętą umiejętność postrzegania, pojmowania i interpretowania zjawisk społecznych w ocenie funkcjonowania poznawczego osób w wieku senioralnym oraz adekwatnego wyboru i zastosowania metod badawczych w celu ich zdiagnozowania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7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5E28BA" w:rsidRPr="00E50635" w14:paraId="5751B992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5DBC" w14:textId="77777777" w:rsidR="005E28BA" w:rsidRPr="00E50635" w:rsidRDefault="005E28BA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A31" w14:textId="77777777" w:rsidR="005E28BA" w:rsidRPr="00E50635" w:rsidRDefault="005E28BA" w:rsidP="007E0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rozpoznać potrzeby </w:t>
            </w:r>
            <w:r w:rsidR="00F97D00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osoby w wieku senioralnym</w:t>
            </w: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jego rodziny, dostrzec ich problemy oraz samodzielnie wygenerować pomysły ich rozwiązania, aby opracować dla nich </w:t>
            </w:r>
            <w:r w:rsidR="00DB5D3E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diagnozę i zaproponować ter</w:t>
            </w:r>
            <w:r w:rsidR="0012733A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DB5D3E"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pię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8BED" w14:textId="77777777" w:rsidR="005E28BA" w:rsidRPr="00E50635" w:rsidRDefault="005E28BA" w:rsidP="00E45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7E0BF8" w:rsidRPr="00E50635" w14:paraId="0A74F8EC" w14:textId="77777777" w:rsidTr="00E45D52">
        <w:trPr>
          <w:trHeight w:val="245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1E6" w14:textId="77777777" w:rsidR="007E0BF8" w:rsidRPr="00E50635" w:rsidRDefault="007E0BF8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530A2" w:rsidRPr="00E50635" w14:paraId="540EA2FB" w14:textId="77777777" w:rsidTr="00E45D52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CA8" w14:textId="77777777" w:rsidR="00D530A2" w:rsidRPr="00E50635" w:rsidRDefault="00D530A2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857" w14:textId="77777777" w:rsidR="00D530A2" w:rsidRPr="00E50635" w:rsidRDefault="00DB5D3E" w:rsidP="00D530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jest gotowy do realizowania różnych zadań zawodowych w celu niesienia pomocy osobom w wieku senioralnym  oraz do podejmowania profesjonalnych zespołowych zadań, również we współpracy ze specjalistami innych dyscyplin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CD3E" w14:textId="77777777" w:rsidR="00D530A2" w:rsidRPr="00E50635" w:rsidRDefault="00D530A2" w:rsidP="00E45D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PSYCH_K0</w:t>
            </w:r>
            <w:r w:rsidR="00DB5D3E" w:rsidRPr="00E50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530A2" w:rsidRPr="00E50635" w14:paraId="24D24B4D" w14:textId="77777777" w:rsidTr="00A60950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0C2" w14:textId="77777777" w:rsidR="00D530A2" w:rsidRPr="00E50635" w:rsidRDefault="00D530A2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9B2" w14:textId="77777777" w:rsidR="00D530A2" w:rsidRPr="00E50635" w:rsidRDefault="00DB5D3E" w:rsidP="00D530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 wykonywaniem zawodu psychologa w obszarze pracy z osobami starszymi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59F" w14:textId="77777777" w:rsidR="00D530A2" w:rsidRPr="00E50635" w:rsidRDefault="00D530A2" w:rsidP="00A6095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PSYCH_K0</w:t>
            </w:r>
            <w:r w:rsidR="00DB5D3E" w:rsidRPr="00E50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30A2" w:rsidRPr="00E50635" w14:paraId="42272728" w14:textId="77777777" w:rsidTr="00A60950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A3D" w14:textId="77777777" w:rsidR="00D530A2" w:rsidRPr="00E50635" w:rsidRDefault="005E28BA" w:rsidP="00E45D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1A8" w14:textId="77777777" w:rsidR="00D530A2" w:rsidRPr="00E50635" w:rsidRDefault="00DB5D3E" w:rsidP="00DB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dba o przestrzeganie zasad etyki wykonywania zawodu psychologa podczas indywidualnego kontaktu z klientem (grupą osób) będącym w wieku</w:t>
            </w:r>
            <w:r w:rsidR="007B23F7"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 senioralnym</w:t>
            </w: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 xml:space="preserve">  a także współpracując z instytucjami pomocowymi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460D" w14:textId="77777777" w:rsidR="00D530A2" w:rsidRPr="00E50635" w:rsidRDefault="005E28BA" w:rsidP="00A60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sz w:val="20"/>
                <w:szCs w:val="20"/>
              </w:rPr>
              <w:t>PSYCH_K0</w:t>
            </w:r>
            <w:r w:rsidR="00DB5D3E" w:rsidRPr="00E50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315F97A" w14:textId="77777777" w:rsidR="00D530A2" w:rsidRDefault="00D530A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D10B642" w14:textId="77777777" w:rsidR="00E45D52" w:rsidRDefault="00E45D5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52CBC0B" w14:textId="77777777" w:rsidR="00E45D52" w:rsidRDefault="00E45D5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036E96E" w14:textId="77777777" w:rsidR="00E45D52" w:rsidRPr="00E50635" w:rsidRDefault="00E45D52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6"/>
      </w:tblGrid>
      <w:tr w:rsidR="00A40BE3" w:rsidRPr="00E50635" w14:paraId="2EACB874" w14:textId="77777777" w:rsidTr="00A60950">
        <w:trPr>
          <w:trHeight w:val="284"/>
        </w:trPr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F7A" w14:textId="77777777" w:rsidR="00A40BE3" w:rsidRPr="00E50635" w:rsidRDefault="00A40BE3" w:rsidP="00B37F4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E50635" w14:paraId="6EC9D2F7" w14:textId="77777777" w:rsidTr="00A60950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FAA8" w14:textId="77777777" w:rsidR="00A40BE3" w:rsidRPr="00E5063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F98C191" w14:textId="77777777" w:rsidR="00A40BE3" w:rsidRPr="00E5063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CE8" w14:textId="77777777" w:rsidR="00A40BE3" w:rsidRPr="00E5063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22110" w:rsidRPr="00E50635" w14:paraId="501939CF" w14:textId="77777777" w:rsidTr="00A609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40E6" w14:textId="77777777" w:rsidR="00322110" w:rsidRPr="00E50635" w:rsidRDefault="0032211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98901" w14:textId="77777777" w:rsidR="00322110" w:rsidRPr="00E50635" w:rsidRDefault="0032211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9AFD9" w14:textId="77777777" w:rsidR="00322110" w:rsidRPr="00A60950" w:rsidRDefault="0032211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A6095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BF26C" w14:textId="77777777" w:rsidR="00322110" w:rsidRPr="00A60950" w:rsidRDefault="0032211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FE3DD" w14:textId="77777777" w:rsidR="00322110" w:rsidRPr="00A60950" w:rsidRDefault="0032211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B56BD4" w14:textId="77777777" w:rsidR="00322110" w:rsidRPr="00A60950" w:rsidRDefault="0032211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Inne:</w:t>
            </w:r>
          </w:p>
          <w:p w14:paraId="7EF675FC" w14:textId="77777777" w:rsidR="00322110" w:rsidRPr="00A60950" w:rsidRDefault="0032211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Studium przypadku</w:t>
            </w:r>
          </w:p>
        </w:tc>
      </w:tr>
      <w:tr w:rsidR="00322110" w:rsidRPr="00E50635" w14:paraId="045E328B" w14:textId="77777777" w:rsidTr="00A609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B9E60" w14:textId="77777777" w:rsidR="00322110" w:rsidRPr="00E50635" w:rsidRDefault="0032211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87C376" w14:textId="77777777" w:rsidR="00322110" w:rsidRPr="00E50635" w:rsidRDefault="0032211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623FA3" w14:textId="77777777" w:rsidR="00322110" w:rsidRPr="00E50635" w:rsidRDefault="0032211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02BC7" w14:textId="77777777" w:rsidR="00322110" w:rsidRPr="00E50635" w:rsidRDefault="0032211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0C49C8" w14:textId="77777777" w:rsidR="00322110" w:rsidRPr="00E50635" w:rsidRDefault="0032211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76B5A" w14:textId="77777777" w:rsidR="00322110" w:rsidRPr="00E50635" w:rsidRDefault="0032211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322110" w:rsidRPr="00E50635" w14:paraId="3FF6FE32" w14:textId="77777777" w:rsidTr="00A609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F9E" w14:textId="77777777" w:rsidR="00322110" w:rsidRPr="00E50635" w:rsidRDefault="0032211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892ED1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D5C72B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67BC9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07AC94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48C72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CD3CC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95FF8C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94773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6B2FD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FD4DD5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FA784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A4333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0E9F9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CC541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8399D" w14:textId="77777777" w:rsidR="00322110" w:rsidRPr="00E50635" w:rsidRDefault="0032211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322110" w:rsidRPr="00E50635" w14:paraId="3A563CCB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CEB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0644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84A8E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7D7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A5B17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7E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C6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C8C20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866A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6723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A7F97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25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3B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FA3A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6A59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AB2B3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2B7EF743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15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AAB53B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F7575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78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F6752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8E0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284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4A49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B710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AEAB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C110E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8F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75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920B3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84093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2478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7307A75F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A6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B3D3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D7EA4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F5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78C7A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17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260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AE1F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C507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8EAB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C1020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FCC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E1D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BD70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43787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2FAA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79334732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04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BE71C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FDE8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E7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96A0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BE7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E9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1FBBF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A096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6BF9B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B1705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2A3E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83A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BBD0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00FF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1165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7198F888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47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CC70E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142630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B20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F0E3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1E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7B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F16D50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B4CC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C9F3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5F58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0B0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3A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05AE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C9F6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BBE1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362051D0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AB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08458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61287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27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1D99F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B4C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709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4ED8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8701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0F05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1B05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FF4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226F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1B56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9B37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5F3A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761D89F2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8B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1DBC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90ED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857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B9F3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B6E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06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C35C7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7D34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14FA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92DC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37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D56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06D1D2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C335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B5AF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41DEDDD1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F6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560AC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E87A1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941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BCD7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92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05F3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0FCC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DBB9B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2D8F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FA434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34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930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485F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4A2DC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8A000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22110" w:rsidRPr="00E50635" w14:paraId="41D157B1" w14:textId="77777777" w:rsidTr="00A60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F2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E4BE93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6FE8F8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43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F660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FF1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00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2FDD86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22FE0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3882E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C247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484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5A5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65EAD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AF47A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1E029" w14:textId="77777777" w:rsidR="00322110" w:rsidRPr="00E50635" w:rsidRDefault="00322110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71DF021" w14:textId="77777777" w:rsidR="008115D0" w:rsidRPr="00E50635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E50635">
        <w:rPr>
          <w:b/>
          <w:i/>
          <w:sz w:val="20"/>
          <w:szCs w:val="20"/>
          <w:lang w:val="pl-PL"/>
        </w:rPr>
        <w:t>*niepotrzebne usunąć</w:t>
      </w:r>
    </w:p>
    <w:p w14:paraId="7291D8C2" w14:textId="77777777" w:rsidR="001D2FDD" w:rsidRPr="00E50635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E50635" w14:paraId="7FD135A5" w14:textId="77777777" w:rsidTr="008353F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236" w14:textId="77777777" w:rsidR="00742D43" w:rsidRPr="00E50635" w:rsidRDefault="00742D43" w:rsidP="00B37F4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E50635" w14:paraId="25B41A2F" w14:textId="77777777" w:rsidTr="008353F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E797" w14:textId="77777777" w:rsidR="00A6090F" w:rsidRPr="00E5063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E04" w14:textId="77777777" w:rsidR="00A6090F" w:rsidRPr="00E5063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D834" w14:textId="77777777" w:rsidR="00A6090F" w:rsidRPr="00E5063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01608" w:rsidRPr="00E50635" w14:paraId="7B7265D1" w14:textId="77777777" w:rsidTr="008353F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5D4802" w14:textId="77777777" w:rsidR="00601608" w:rsidRPr="00E50635" w:rsidRDefault="00601608" w:rsidP="0060160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1A6A" w14:textId="77777777" w:rsidR="00601608" w:rsidRPr="00E50635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3C5C" w14:textId="77777777" w:rsidR="00601608" w:rsidRPr="00E50635" w:rsidRDefault="00601608" w:rsidP="00F7731F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601608" w:rsidRPr="00E50635" w14:paraId="023DF8C7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FF4E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141" w14:textId="77777777" w:rsidR="00601608" w:rsidRPr="00E50635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466F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601608" w:rsidRPr="00E50635" w14:paraId="384DE63D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DA5B7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288" w14:textId="77777777" w:rsidR="00601608" w:rsidRPr="00E50635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CCF7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601608" w:rsidRPr="00E50635" w14:paraId="748DBFB0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68914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2B8" w14:textId="77777777" w:rsidR="00601608" w:rsidRPr="00E50635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5724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601608" w:rsidRPr="00E50635" w14:paraId="05CD315B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B4E" w14:textId="77777777" w:rsidR="00601608" w:rsidRPr="00E50635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FA6" w14:textId="77777777" w:rsidR="00601608" w:rsidRPr="00E50635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6E4D" w14:textId="77777777" w:rsidR="00601608" w:rsidRPr="00E50635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2BEB1812" w14:textId="77777777" w:rsidR="00C73707" w:rsidRPr="00E50635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507443A" w14:textId="77777777" w:rsidR="001511D9" w:rsidRPr="00E50635" w:rsidRDefault="001511D9" w:rsidP="00B37F4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5063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E50635" w14:paraId="2E17B91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F2B" w14:textId="77777777" w:rsidR="001511D9" w:rsidRPr="00E5063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641" w14:textId="77777777" w:rsidR="001511D9" w:rsidRPr="00E5063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E50635" w14:paraId="2D77B71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A26" w14:textId="77777777" w:rsidR="001511D9" w:rsidRPr="00E5063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8FF" w14:textId="77777777" w:rsidR="001511D9" w:rsidRPr="00E5063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530568" w14:textId="77777777" w:rsidR="001511D9" w:rsidRPr="00E5063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E84" w14:textId="77777777" w:rsidR="001511D9" w:rsidRPr="00E5063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D4DD1D4" w14:textId="77777777" w:rsidR="001511D9" w:rsidRPr="00E5063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63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01608" w:rsidRPr="00E50635" w14:paraId="3998057A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7B79C" w14:textId="77777777" w:rsidR="00601608" w:rsidRPr="00A60950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BB5BC" w14:textId="77777777" w:rsidR="00601608" w:rsidRPr="00A60950" w:rsidRDefault="00DB5D3E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47D3E0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</w:tr>
      <w:tr w:rsidR="00601608" w:rsidRPr="00E50635" w14:paraId="786049DE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FA4" w14:textId="77777777" w:rsidR="00601608" w:rsidRPr="00A60950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3A5" w14:textId="77777777" w:rsidR="00601608" w:rsidRPr="00A60950" w:rsidRDefault="00DB5D3E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C35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01608" w:rsidRPr="00E50635" w14:paraId="467B0762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C7D4" w14:textId="77777777" w:rsidR="00601608" w:rsidRPr="00A60950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55B" w14:textId="77777777" w:rsidR="00601608" w:rsidRPr="00A60950" w:rsidRDefault="00DB5D3E" w:rsidP="002B6E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FFE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601608" w:rsidRPr="00E50635" w14:paraId="1B7CA550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D718B5" w14:textId="77777777" w:rsidR="00601608" w:rsidRPr="00A60950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BDD59" w14:textId="77777777" w:rsidR="00601608" w:rsidRPr="00A60950" w:rsidRDefault="00DB5D3E" w:rsidP="002B6ED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79A71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33</w:t>
            </w:r>
          </w:p>
        </w:tc>
      </w:tr>
      <w:tr w:rsidR="00601608" w:rsidRPr="00E50635" w14:paraId="79E85491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3C0" w14:textId="77777777" w:rsidR="00601608" w:rsidRPr="00A60950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D61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7A8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601608" w:rsidRPr="00E50635" w14:paraId="7E7AFBD1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507" w14:textId="77777777" w:rsidR="00601608" w:rsidRPr="00A60950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2B6EDC"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C2E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400" w14:textId="77777777" w:rsidR="00601608" w:rsidRPr="00A60950" w:rsidRDefault="0012733A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601608" w:rsidRPr="00E50635" w14:paraId="78FB3A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1B8D7E" w14:textId="77777777" w:rsidR="00601608" w:rsidRPr="00A60950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0FEB52" w14:textId="77777777" w:rsidR="00601608" w:rsidRPr="00A60950" w:rsidRDefault="0012733A" w:rsidP="002B6ED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</w:t>
            </w:r>
            <w:r w:rsidR="002B6EDC"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C38CBE" w14:textId="77777777" w:rsidR="00601608" w:rsidRPr="00A60950" w:rsidRDefault="0012733A" w:rsidP="002B6ED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</w:t>
            </w:r>
            <w:r w:rsidR="002B6EDC"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601608" w:rsidRPr="00E50635" w14:paraId="7873EB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D9143" w14:textId="77777777" w:rsidR="00601608" w:rsidRPr="00A60950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8AB00C" w14:textId="77777777" w:rsidR="00601608" w:rsidRPr="00A60950" w:rsidRDefault="002B6EDC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90AE19" w14:textId="77777777" w:rsidR="00601608" w:rsidRPr="00A60950" w:rsidRDefault="002B6EDC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9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20ED4DC" w14:textId="77777777" w:rsidR="00FA6C7B" w:rsidRPr="00E50635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E50635">
        <w:rPr>
          <w:b/>
          <w:i/>
          <w:sz w:val="20"/>
          <w:szCs w:val="20"/>
          <w:lang w:val="pl-PL"/>
        </w:rPr>
        <w:t xml:space="preserve">*niepotrzebne </w:t>
      </w:r>
      <w:r w:rsidR="008115D0" w:rsidRPr="00E50635">
        <w:rPr>
          <w:b/>
          <w:i/>
          <w:sz w:val="20"/>
          <w:szCs w:val="20"/>
          <w:lang w:val="pl-PL"/>
        </w:rPr>
        <w:t>usunąć</w:t>
      </w:r>
    </w:p>
    <w:p w14:paraId="5E08A701" w14:textId="77777777" w:rsidR="00FA6C7B" w:rsidRPr="00E5063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CFBBC37" w14:textId="77777777" w:rsidR="005C5513" w:rsidRPr="00E50635" w:rsidRDefault="005C5513" w:rsidP="007C5B2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E50635">
        <w:rPr>
          <w:b/>
          <w:i/>
          <w:sz w:val="20"/>
          <w:szCs w:val="20"/>
        </w:rPr>
        <w:t>Przyjmuję do realizacji</w:t>
      </w:r>
      <w:r w:rsidRPr="00E50635">
        <w:rPr>
          <w:i/>
          <w:sz w:val="20"/>
          <w:szCs w:val="20"/>
        </w:rPr>
        <w:t xml:space="preserve">    (data i</w:t>
      </w:r>
      <w:r w:rsidR="00EB24C1" w:rsidRPr="00E50635">
        <w:rPr>
          <w:i/>
          <w:sz w:val="20"/>
          <w:szCs w:val="20"/>
          <w:lang w:val="pl-PL"/>
        </w:rPr>
        <w:t xml:space="preserve"> czytelne </w:t>
      </w:r>
      <w:r w:rsidRPr="00E50635">
        <w:rPr>
          <w:i/>
          <w:sz w:val="20"/>
          <w:szCs w:val="20"/>
        </w:rPr>
        <w:t xml:space="preserve"> podpisy osób prowadzących przedmiot w danym roku akademickim)</w:t>
      </w:r>
    </w:p>
    <w:p w14:paraId="30703E35" w14:textId="77777777" w:rsidR="005C5513" w:rsidRPr="00E5063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D0F41E2" w14:textId="77777777" w:rsidR="005625C2" w:rsidRPr="00E5063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D5F51A5" w14:textId="77777777" w:rsidR="005C5513" w:rsidRPr="00E5063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E50635">
        <w:rPr>
          <w:i/>
          <w:sz w:val="20"/>
          <w:szCs w:val="20"/>
        </w:rPr>
        <w:tab/>
      </w:r>
      <w:r w:rsidRPr="00E50635">
        <w:rPr>
          <w:i/>
          <w:sz w:val="20"/>
          <w:szCs w:val="20"/>
        </w:rPr>
        <w:tab/>
      </w:r>
      <w:r w:rsidRPr="00E50635">
        <w:rPr>
          <w:i/>
          <w:sz w:val="20"/>
          <w:szCs w:val="20"/>
        </w:rPr>
        <w:tab/>
      </w:r>
      <w:r w:rsidR="0082063F" w:rsidRPr="00E50635">
        <w:rPr>
          <w:i/>
          <w:sz w:val="20"/>
          <w:szCs w:val="20"/>
          <w:lang w:val="pl-PL"/>
        </w:rPr>
        <w:t xml:space="preserve">             </w:t>
      </w:r>
      <w:r w:rsidRPr="00E5063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E5063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50AB" w14:textId="77777777" w:rsidR="001A7B0C" w:rsidRDefault="001A7B0C">
      <w:r>
        <w:separator/>
      </w:r>
    </w:p>
  </w:endnote>
  <w:endnote w:type="continuationSeparator" w:id="0">
    <w:p w14:paraId="7635455E" w14:textId="77777777" w:rsidR="001A7B0C" w:rsidRDefault="001A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0A83" w14:textId="77777777" w:rsidR="001A7B0C" w:rsidRDefault="001A7B0C"/>
  </w:footnote>
  <w:footnote w:type="continuationSeparator" w:id="0">
    <w:p w14:paraId="6CCFCB40" w14:textId="77777777" w:rsidR="001A7B0C" w:rsidRDefault="001A7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B176DE"/>
    <w:multiLevelType w:val="hybridMultilevel"/>
    <w:tmpl w:val="DCB00A46"/>
    <w:lvl w:ilvl="0" w:tplc="1414857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C7B88"/>
    <w:multiLevelType w:val="hybridMultilevel"/>
    <w:tmpl w:val="7456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A16CB"/>
    <w:multiLevelType w:val="hybridMultilevel"/>
    <w:tmpl w:val="A08C940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4605"/>
    <w:multiLevelType w:val="hybridMultilevel"/>
    <w:tmpl w:val="4F98C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F4319C"/>
    <w:multiLevelType w:val="hybridMultilevel"/>
    <w:tmpl w:val="ECC86A66"/>
    <w:lvl w:ilvl="0" w:tplc="172A2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2243"/>
    <w:multiLevelType w:val="hybridMultilevel"/>
    <w:tmpl w:val="4F98C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29B2"/>
    <w:rsid w:val="000C3993"/>
    <w:rsid w:val="000D34FA"/>
    <w:rsid w:val="000D62D8"/>
    <w:rsid w:val="000E1685"/>
    <w:rsid w:val="000F524E"/>
    <w:rsid w:val="000F5CFC"/>
    <w:rsid w:val="000F5D27"/>
    <w:rsid w:val="0012733A"/>
    <w:rsid w:val="001425A3"/>
    <w:rsid w:val="001511D9"/>
    <w:rsid w:val="00152D19"/>
    <w:rsid w:val="00163028"/>
    <w:rsid w:val="001700DC"/>
    <w:rsid w:val="00177ABC"/>
    <w:rsid w:val="00195C93"/>
    <w:rsid w:val="001A7B0C"/>
    <w:rsid w:val="001B2039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7516D"/>
    <w:rsid w:val="00282DC0"/>
    <w:rsid w:val="00282F37"/>
    <w:rsid w:val="002833B9"/>
    <w:rsid w:val="00283E57"/>
    <w:rsid w:val="00295BD2"/>
    <w:rsid w:val="002B6EDC"/>
    <w:rsid w:val="002D1675"/>
    <w:rsid w:val="002E3DFB"/>
    <w:rsid w:val="002F5F1C"/>
    <w:rsid w:val="00301365"/>
    <w:rsid w:val="00303338"/>
    <w:rsid w:val="00304D7D"/>
    <w:rsid w:val="00306C80"/>
    <w:rsid w:val="003207B9"/>
    <w:rsid w:val="00322110"/>
    <w:rsid w:val="00340F59"/>
    <w:rsid w:val="00355C21"/>
    <w:rsid w:val="00361482"/>
    <w:rsid w:val="00370D1D"/>
    <w:rsid w:val="003B0B4A"/>
    <w:rsid w:val="003C28BC"/>
    <w:rsid w:val="003C59AC"/>
    <w:rsid w:val="003D2051"/>
    <w:rsid w:val="003E33CD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A5817"/>
    <w:rsid w:val="005B4506"/>
    <w:rsid w:val="005B5676"/>
    <w:rsid w:val="005B5E91"/>
    <w:rsid w:val="005C5513"/>
    <w:rsid w:val="005D0415"/>
    <w:rsid w:val="005D5D80"/>
    <w:rsid w:val="005E28BA"/>
    <w:rsid w:val="005E69E4"/>
    <w:rsid w:val="005F3D8D"/>
    <w:rsid w:val="00601608"/>
    <w:rsid w:val="006042CB"/>
    <w:rsid w:val="00604B1D"/>
    <w:rsid w:val="006223E8"/>
    <w:rsid w:val="00653368"/>
    <w:rsid w:val="0066006C"/>
    <w:rsid w:val="0066524E"/>
    <w:rsid w:val="00673F5E"/>
    <w:rsid w:val="00683581"/>
    <w:rsid w:val="006A4183"/>
    <w:rsid w:val="006B0A9A"/>
    <w:rsid w:val="006C7E19"/>
    <w:rsid w:val="006E15D8"/>
    <w:rsid w:val="006E2A4F"/>
    <w:rsid w:val="007034A2"/>
    <w:rsid w:val="00711C11"/>
    <w:rsid w:val="00742D43"/>
    <w:rsid w:val="0078660D"/>
    <w:rsid w:val="00790F85"/>
    <w:rsid w:val="00796956"/>
    <w:rsid w:val="0079768F"/>
    <w:rsid w:val="007B23F7"/>
    <w:rsid w:val="007B69A7"/>
    <w:rsid w:val="007B75E6"/>
    <w:rsid w:val="007C5B2B"/>
    <w:rsid w:val="007D6215"/>
    <w:rsid w:val="007E0BF8"/>
    <w:rsid w:val="00801108"/>
    <w:rsid w:val="00805AAE"/>
    <w:rsid w:val="0081017D"/>
    <w:rsid w:val="008115D0"/>
    <w:rsid w:val="0082063F"/>
    <w:rsid w:val="00821DC0"/>
    <w:rsid w:val="00826CDB"/>
    <w:rsid w:val="00832733"/>
    <w:rsid w:val="00832ACF"/>
    <w:rsid w:val="008353F7"/>
    <w:rsid w:val="00836D82"/>
    <w:rsid w:val="00845406"/>
    <w:rsid w:val="00851598"/>
    <w:rsid w:val="00852D5F"/>
    <w:rsid w:val="00861A15"/>
    <w:rsid w:val="00866745"/>
    <w:rsid w:val="00871D34"/>
    <w:rsid w:val="00883F85"/>
    <w:rsid w:val="008840A7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0950"/>
    <w:rsid w:val="00A869C4"/>
    <w:rsid w:val="00AB23EA"/>
    <w:rsid w:val="00AB4289"/>
    <w:rsid w:val="00AB59F6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1455"/>
    <w:rsid w:val="00B37F4C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1E74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530A2"/>
    <w:rsid w:val="00D6440C"/>
    <w:rsid w:val="00D67467"/>
    <w:rsid w:val="00D85301"/>
    <w:rsid w:val="00D94AA8"/>
    <w:rsid w:val="00DA5E5B"/>
    <w:rsid w:val="00DB1732"/>
    <w:rsid w:val="00DB5D3E"/>
    <w:rsid w:val="00DD1877"/>
    <w:rsid w:val="00DD37B8"/>
    <w:rsid w:val="00DD67B6"/>
    <w:rsid w:val="00DE3813"/>
    <w:rsid w:val="00DF5A00"/>
    <w:rsid w:val="00E03414"/>
    <w:rsid w:val="00E11EAD"/>
    <w:rsid w:val="00E170AB"/>
    <w:rsid w:val="00E20920"/>
    <w:rsid w:val="00E45D52"/>
    <w:rsid w:val="00E50635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1F6B"/>
    <w:rsid w:val="00F3697D"/>
    <w:rsid w:val="00F43B17"/>
    <w:rsid w:val="00F45FA1"/>
    <w:rsid w:val="00F573CA"/>
    <w:rsid w:val="00F725C5"/>
    <w:rsid w:val="00F7731F"/>
    <w:rsid w:val="00F95A81"/>
    <w:rsid w:val="00F95F23"/>
    <w:rsid w:val="00F97D00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933F"/>
  <w15:chartTrackingRefBased/>
  <w15:docId w15:val="{9D1BCFAF-4BE9-4C4E-B6F3-C6D583F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uiPriority w:val="34"/>
    <w:qFormat/>
    <w:rsid w:val="001B2039"/>
    <w:pPr>
      <w:ind w:left="708"/>
    </w:pPr>
    <w:rPr>
      <w:rFonts w:ascii="Times New Roman" w:hAnsi="Times New Roman"/>
      <w:color w:val="000000"/>
      <w:sz w:val="24"/>
      <w:szCs w:val="24"/>
      <w:u w:color="000000"/>
    </w:rPr>
  </w:style>
  <w:style w:type="paragraph" w:styleId="Tekstpodstawowy">
    <w:name w:val="Body Text"/>
    <w:basedOn w:val="Normalny"/>
    <w:link w:val="TekstpodstawowyZnak"/>
    <w:rsid w:val="008840A7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8840A7"/>
    <w:rPr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D38B-75CF-48A0-8B94-6C4ADA9C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2021-08-27T15:58:00Z</dcterms:created>
  <dcterms:modified xsi:type="dcterms:W3CDTF">2021-08-27T15:58:00Z</dcterms:modified>
</cp:coreProperties>
</file>